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745" w:rsidRPr="00B00745" w:rsidRDefault="00B00745" w:rsidP="00B00745">
      <w:pPr>
        <w:spacing w:after="0"/>
        <w:ind w:left="2160" w:hanging="2160"/>
        <w:outlineLvl w:val="1"/>
        <w:rPr>
          <w:rFonts w:eastAsia="SimSun" w:cs="Arial"/>
          <w:b/>
          <w:sz w:val="20"/>
          <w:szCs w:val="20"/>
        </w:rPr>
      </w:pPr>
      <w:bookmarkStart w:id="0" w:name="_DV_M0"/>
      <w:bookmarkStart w:id="1" w:name="_GoBack"/>
      <w:bookmarkEnd w:id="0"/>
      <w:bookmarkEnd w:id="1"/>
      <w:r w:rsidRPr="00B00745">
        <w:rPr>
          <w:rFonts w:eastAsia="SimSun" w:cs="Arial"/>
          <w:b/>
          <w:sz w:val="20"/>
          <w:szCs w:val="20"/>
        </w:rPr>
        <w:t xml:space="preserve">Directive No. 1 </w:t>
      </w:r>
      <w:r w:rsidRPr="00B00745">
        <w:rPr>
          <w:rFonts w:eastAsia="SimSun" w:cs="Arial"/>
          <w:b/>
          <w:sz w:val="20"/>
          <w:szCs w:val="20"/>
        </w:rPr>
        <w:tab/>
        <w:t xml:space="preserve">Requirement for Clearing Members Clearing OTC Commodity Contracts for U.S. Persons to Issue Disclosure Statement </w:t>
      </w:r>
      <w:r w:rsidRPr="00B00745">
        <w:rPr>
          <w:rFonts w:eastAsia="SimSun" w:cs="Arial"/>
          <w:b/>
          <w:sz w:val="20"/>
          <w:szCs w:val="20"/>
        </w:rPr>
        <w:br/>
      </w:r>
    </w:p>
    <w:tbl>
      <w:tblPr>
        <w:tblW w:w="4950" w:type="pct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3563"/>
        <w:gridCol w:w="1954"/>
        <w:gridCol w:w="4143"/>
      </w:tblGrid>
      <w:tr w:rsidR="00B00745" w:rsidTr="00A73EA5"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B00745" w:rsidRDefault="00B00745" w:rsidP="00A73EA5">
            <w:pPr>
              <w:spacing w:after="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Dates 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B00745" w:rsidRDefault="00B00745" w:rsidP="00A73EA5">
            <w:pPr>
              <w:spacing w:after="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Cross Reference </w:t>
            </w: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21076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B00745" w:rsidRDefault="00B00745" w:rsidP="00A73EA5">
            <w:pPr>
              <w:spacing w:after="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Enquiries </w:t>
            </w:r>
          </w:p>
        </w:tc>
      </w:tr>
      <w:tr w:rsidR="00B00745" w:rsidTr="00A73EA5"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745" w:rsidRDefault="00B00745" w:rsidP="00A73EA5">
            <w:pPr>
              <w:spacing w:after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Issue Date </w:t>
            </w:r>
            <w:bookmarkStart w:id="2" w:name="_DV_C2"/>
            <w:r w:rsidRPr="0011767B">
              <w:rPr>
                <w:rStyle w:val="DeltaViewInsertion"/>
                <w:rFonts w:cs="Arial"/>
                <w:color w:val="auto"/>
                <w:sz w:val="20"/>
                <w:szCs w:val="20"/>
                <w:u w:val="single"/>
              </w:rPr>
              <w:t>31 December 2012</w:t>
            </w:r>
            <w:bookmarkStart w:id="3" w:name="_DV_M1"/>
            <w:bookmarkEnd w:id="2"/>
            <w:bookmarkEnd w:id="3"/>
            <w:r>
              <w:rPr>
                <w:rFonts w:cs="Arial"/>
                <w:sz w:val="20"/>
                <w:szCs w:val="20"/>
              </w:rPr>
              <w:br/>
            </w:r>
            <w:r>
              <w:rPr>
                <w:rFonts w:cs="Arial"/>
                <w:sz w:val="20"/>
                <w:szCs w:val="20"/>
              </w:rPr>
              <w:br/>
              <w:t>Effective Date 31 December 2012</w:t>
            </w:r>
          </w:p>
          <w:p w:rsidR="00B00745" w:rsidRDefault="00B00745" w:rsidP="00A73EA5">
            <w:pPr>
              <w:spacing w:after="0"/>
              <w:rPr>
                <w:rFonts w:cs="Arial"/>
                <w:sz w:val="20"/>
                <w:szCs w:val="20"/>
              </w:rPr>
            </w:pPr>
          </w:p>
          <w:p w:rsidR="00B00745" w:rsidRDefault="00B00745" w:rsidP="00A73EA5">
            <w:pPr>
              <w:spacing w:after="0"/>
              <w:rPr>
                <w:rFonts w:cs="Arial"/>
                <w:sz w:val="20"/>
                <w:szCs w:val="20"/>
              </w:rPr>
            </w:pPr>
            <w:bookmarkStart w:id="4" w:name="_DV_M2"/>
            <w:bookmarkEnd w:id="4"/>
            <w:r>
              <w:rPr>
                <w:rFonts w:cs="Arial"/>
                <w:sz w:val="20"/>
                <w:szCs w:val="20"/>
              </w:rPr>
              <w:t xml:space="preserve">Amended on </w:t>
            </w:r>
            <w:bookmarkStart w:id="5" w:name="_DV_C4"/>
            <w:r w:rsidRPr="0011767B">
              <w:rPr>
                <w:rStyle w:val="DeltaViewInsertion"/>
                <w:rFonts w:cs="Arial"/>
                <w:color w:val="auto"/>
                <w:sz w:val="20"/>
                <w:szCs w:val="20"/>
                <w:u w:val="none"/>
              </w:rPr>
              <w:t>31</w:t>
            </w:r>
            <w:bookmarkStart w:id="6" w:name="_DV_M3"/>
            <w:bookmarkEnd w:id="5"/>
            <w:bookmarkEnd w:id="6"/>
            <w:r>
              <w:rPr>
                <w:rFonts w:cs="Arial"/>
                <w:sz w:val="20"/>
                <w:szCs w:val="20"/>
              </w:rPr>
              <w:t xml:space="preserve"> December 2013</w:t>
            </w:r>
          </w:p>
          <w:p w:rsidR="00B00745" w:rsidRDefault="0017622D" w:rsidP="00A73EA5">
            <w:pPr>
              <w:spacing w:after="0"/>
              <w:rPr>
                <w:rFonts w:cs="Arial"/>
                <w:sz w:val="20"/>
                <w:szCs w:val="20"/>
              </w:rPr>
            </w:pPr>
            <w:bookmarkStart w:id="7" w:name="_DV_C5"/>
            <w:r>
              <w:rPr>
                <w:rStyle w:val="DeltaViewInsertion"/>
                <w:rFonts w:cs="Arial"/>
                <w:sz w:val="20"/>
                <w:szCs w:val="20"/>
              </w:rPr>
              <w:t>and 21</w:t>
            </w:r>
            <w:r w:rsidR="00B00745">
              <w:rPr>
                <w:rStyle w:val="DeltaViewInsertion"/>
                <w:rFonts w:cs="Arial"/>
                <w:sz w:val="20"/>
                <w:szCs w:val="20"/>
              </w:rPr>
              <w:t xml:space="preserve"> April 2014</w:t>
            </w:r>
            <w:bookmarkEnd w:id="7"/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745" w:rsidRDefault="00B00745" w:rsidP="00A73EA5">
            <w:pPr>
              <w:spacing w:after="0"/>
              <w:rPr>
                <w:rFonts w:cs="Arial"/>
                <w:color w:val="0000FF"/>
                <w:sz w:val="20"/>
                <w:szCs w:val="20"/>
              </w:rPr>
            </w:pPr>
          </w:p>
        </w:tc>
        <w:tc>
          <w:tcPr>
            <w:tcW w:w="40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B00745" w:rsidRDefault="00B00745" w:rsidP="00A73EA5">
            <w:pPr>
              <w:spacing w:after="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Please contact Member Supervision: —</w:t>
            </w:r>
            <w:r>
              <w:rPr>
                <w:rFonts w:cs="Arial"/>
                <w:sz w:val="20"/>
                <w:szCs w:val="20"/>
              </w:rPr>
              <w:br/>
            </w:r>
            <w:r>
              <w:rPr>
                <w:rFonts w:cs="Arial"/>
                <w:sz w:val="20"/>
                <w:szCs w:val="20"/>
              </w:rPr>
              <w:br/>
              <w:t>Facsimile No : 6538 8273</w:t>
            </w:r>
            <w:r>
              <w:rPr>
                <w:rFonts w:cs="Arial"/>
                <w:sz w:val="20"/>
                <w:szCs w:val="20"/>
              </w:rPr>
              <w:br/>
              <w:t xml:space="preserve">E-Mail Address: </w:t>
            </w:r>
            <w:hyperlink r:id="rId9" w:history="1">
              <w:r>
                <w:rPr>
                  <w:rFonts w:cs="Arial"/>
                  <w:color w:val="791E75"/>
                  <w:sz w:val="20"/>
                  <w:szCs w:val="20"/>
                  <w:u w:val="single"/>
                </w:rPr>
                <w:t>membersup@sgx.com</w:t>
              </w:r>
            </w:hyperlink>
          </w:p>
        </w:tc>
      </w:tr>
    </w:tbl>
    <w:p w:rsidR="00B00745" w:rsidRDefault="00B00745" w:rsidP="00B00745">
      <w:pPr>
        <w:spacing w:after="0"/>
        <w:rPr>
          <w:rFonts w:cs="Arial"/>
          <w:b/>
          <w:sz w:val="20"/>
          <w:szCs w:val="20"/>
        </w:rPr>
      </w:pPr>
    </w:p>
    <w:p w:rsidR="00B00745" w:rsidRDefault="00B00745" w:rsidP="00B00745">
      <w:pPr>
        <w:spacing w:after="0"/>
        <w:ind w:left="720" w:hanging="720"/>
        <w:rPr>
          <w:rFonts w:cs="Arial"/>
          <w:sz w:val="20"/>
          <w:szCs w:val="20"/>
        </w:rPr>
      </w:pPr>
      <w:bookmarkStart w:id="8" w:name="_DV_M5"/>
      <w:bookmarkEnd w:id="8"/>
      <w:r>
        <w:rPr>
          <w:rFonts w:cs="Arial"/>
          <w:b/>
          <w:sz w:val="20"/>
          <w:szCs w:val="20"/>
        </w:rPr>
        <w:t xml:space="preserve">1 </w:t>
      </w:r>
      <w:r>
        <w:rPr>
          <w:rFonts w:cs="Arial"/>
          <w:b/>
          <w:sz w:val="20"/>
          <w:szCs w:val="20"/>
        </w:rPr>
        <w:tab/>
        <w:t>Background</w:t>
      </w:r>
    </w:p>
    <w:p w:rsidR="00B00745" w:rsidRDefault="00B00745" w:rsidP="00B00745">
      <w:pPr>
        <w:spacing w:after="0"/>
        <w:ind w:left="720" w:hanging="720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  <w:bookmarkStart w:id="9" w:name="_DV_M6"/>
      <w:bookmarkEnd w:id="9"/>
      <w:r>
        <w:rPr>
          <w:rFonts w:cs="Arial"/>
          <w:sz w:val="20"/>
          <w:szCs w:val="20"/>
        </w:rPr>
        <w:t xml:space="preserve">1.1 </w:t>
      </w:r>
      <w:r>
        <w:rPr>
          <w:rFonts w:cs="Arial"/>
          <w:sz w:val="20"/>
          <w:szCs w:val="20"/>
        </w:rPr>
        <w:tab/>
        <w:t>Singapore Exchange Derivatives Clearing Limited ("</w:t>
      </w:r>
      <w:r>
        <w:rPr>
          <w:rFonts w:cs="Arial"/>
          <w:b/>
          <w:sz w:val="20"/>
          <w:szCs w:val="20"/>
        </w:rPr>
        <w:t>SGX-DC</w:t>
      </w:r>
      <w:r>
        <w:rPr>
          <w:rFonts w:cs="Arial"/>
          <w:sz w:val="20"/>
          <w:szCs w:val="20"/>
        </w:rPr>
        <w:t>") refers to certain provisions of the U.S. Commodity Exchange Act ("</w:t>
      </w:r>
      <w:r>
        <w:rPr>
          <w:rFonts w:cs="Arial"/>
          <w:b/>
          <w:sz w:val="20"/>
          <w:szCs w:val="20"/>
        </w:rPr>
        <w:t>CEA</w:t>
      </w:r>
      <w:r>
        <w:rPr>
          <w:rFonts w:cs="Arial"/>
          <w:sz w:val="20"/>
          <w:szCs w:val="20"/>
        </w:rPr>
        <w:t>"), introduced in accordance with the Dodd-Frank Act, which</w:t>
      </w:r>
      <w:r>
        <w:rPr>
          <w:rFonts w:cs="Arial"/>
          <w:color w:val="0000FF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came into effect on 12 October 2012 ("</w:t>
      </w:r>
      <w:r>
        <w:rPr>
          <w:rFonts w:cs="Arial"/>
          <w:b/>
          <w:sz w:val="20"/>
          <w:szCs w:val="20"/>
        </w:rPr>
        <w:t>New U.S. Laws</w:t>
      </w:r>
      <w:r>
        <w:rPr>
          <w:rFonts w:cs="Arial"/>
          <w:sz w:val="20"/>
          <w:szCs w:val="20"/>
        </w:rPr>
        <w:t>"). This included the definition of the term "swap".</w:t>
      </w: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  <w:bookmarkStart w:id="10" w:name="_DV_M8"/>
      <w:bookmarkEnd w:id="10"/>
      <w:r>
        <w:rPr>
          <w:rFonts w:cs="Arial"/>
          <w:sz w:val="20"/>
          <w:szCs w:val="20"/>
        </w:rPr>
        <w:t xml:space="preserve">1.3 </w:t>
      </w:r>
      <w:r>
        <w:rPr>
          <w:rFonts w:cs="Arial"/>
          <w:sz w:val="20"/>
          <w:szCs w:val="20"/>
        </w:rPr>
        <w:tab/>
        <w:t>Section 5b(a) of the CEA makes it unlawful for any clearing organisation to clear swaps for a U.S. person if it is not registered (or otherwise exempt) as a derivatives clearing organisation ("</w:t>
      </w:r>
      <w:r>
        <w:rPr>
          <w:rFonts w:cs="Arial"/>
          <w:b/>
          <w:sz w:val="20"/>
          <w:szCs w:val="20"/>
        </w:rPr>
        <w:t>DCO</w:t>
      </w:r>
      <w:r>
        <w:rPr>
          <w:rFonts w:cs="Arial"/>
          <w:sz w:val="20"/>
          <w:szCs w:val="20"/>
        </w:rPr>
        <w:t xml:space="preserve">"). As a result of this, SGX-DC is required to comply with the DCO registration requirements under CEA Section </w:t>
      </w:r>
      <w:proofErr w:type="gramStart"/>
      <w:r>
        <w:rPr>
          <w:rFonts w:cs="Arial"/>
          <w:sz w:val="20"/>
          <w:szCs w:val="20"/>
        </w:rPr>
        <w:t>5b(</w:t>
      </w:r>
      <w:proofErr w:type="gramEnd"/>
      <w:r>
        <w:rPr>
          <w:rFonts w:cs="Arial"/>
          <w:sz w:val="20"/>
          <w:szCs w:val="20"/>
        </w:rPr>
        <w:t>a). SGX-DC is expected to be registered as a DCO by 31 December 2013.</w:t>
      </w: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  <w:bookmarkStart w:id="11" w:name="_DV_M9"/>
      <w:bookmarkEnd w:id="11"/>
      <w:r>
        <w:rPr>
          <w:rFonts w:cs="Arial"/>
          <w:sz w:val="20"/>
          <w:szCs w:val="20"/>
        </w:rPr>
        <w:t xml:space="preserve">1.4 </w:t>
      </w:r>
      <w:r>
        <w:rPr>
          <w:rFonts w:cs="Arial"/>
          <w:sz w:val="20"/>
          <w:szCs w:val="20"/>
        </w:rPr>
        <w:tab/>
        <w:t>Further, Clearing Members clearing through SGX-DC on behalf of U.S. persons would be required to comply with futures commission merchant ("</w:t>
      </w:r>
      <w:r>
        <w:rPr>
          <w:rFonts w:cs="Arial"/>
          <w:b/>
          <w:sz w:val="20"/>
          <w:szCs w:val="20"/>
        </w:rPr>
        <w:t>FCM</w:t>
      </w:r>
      <w:r>
        <w:rPr>
          <w:rFonts w:cs="Arial"/>
          <w:sz w:val="20"/>
          <w:szCs w:val="20"/>
        </w:rPr>
        <w:t>") registration requirements under CEA Section 4d(f)(1). CEA Section 4d(f)(1) provides that it is unlawful for any person to accept margins on behalf of a U.S. swaps customer to secure a swap cleared through a DCO unless that person is registered with the Commodity Futures Trading Commission (the "</w:t>
      </w:r>
      <w:r>
        <w:rPr>
          <w:rFonts w:cs="Arial"/>
          <w:b/>
          <w:sz w:val="20"/>
          <w:szCs w:val="20"/>
        </w:rPr>
        <w:t>Commission</w:t>
      </w:r>
      <w:r>
        <w:rPr>
          <w:rFonts w:cs="Arial"/>
          <w:sz w:val="20"/>
          <w:szCs w:val="20"/>
        </w:rPr>
        <w:t>") as an FCM.</w:t>
      </w: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  <w:bookmarkStart w:id="12" w:name="_DV_M10"/>
      <w:bookmarkEnd w:id="12"/>
      <w:r>
        <w:rPr>
          <w:rFonts w:cs="Arial"/>
          <w:sz w:val="20"/>
          <w:szCs w:val="20"/>
        </w:rPr>
        <w:t xml:space="preserve">1.5 </w:t>
      </w:r>
      <w:r>
        <w:rPr>
          <w:rFonts w:cs="Arial"/>
          <w:sz w:val="20"/>
          <w:szCs w:val="20"/>
        </w:rPr>
        <w:tab/>
        <w:t>SGX-DC currently clears OTC commodity contracts through its Clearing Members and for U.S. persons, some of which fall within the swap definition under the New U.S. Laws ("</w:t>
      </w:r>
      <w:r>
        <w:rPr>
          <w:rFonts w:cs="Arial"/>
          <w:b/>
          <w:sz w:val="20"/>
          <w:szCs w:val="20"/>
        </w:rPr>
        <w:t xml:space="preserve">OTC Commodity </w:t>
      </w:r>
      <w:proofErr w:type="gramStart"/>
      <w:r>
        <w:rPr>
          <w:rFonts w:cs="Arial"/>
          <w:b/>
          <w:sz w:val="20"/>
          <w:szCs w:val="20"/>
        </w:rPr>
        <w:t>Contracts</w:t>
      </w:r>
      <w:r>
        <w:rPr>
          <w:rFonts w:cs="Arial"/>
          <w:sz w:val="20"/>
          <w:szCs w:val="20"/>
        </w:rPr>
        <w:t>").</w:t>
      </w:r>
      <w:proofErr w:type="gramEnd"/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720" w:hanging="720"/>
        <w:rPr>
          <w:rFonts w:cs="Arial"/>
          <w:sz w:val="20"/>
          <w:szCs w:val="20"/>
        </w:rPr>
      </w:pPr>
      <w:bookmarkStart w:id="13" w:name="_DV_M11"/>
      <w:bookmarkEnd w:id="13"/>
      <w:r>
        <w:rPr>
          <w:rFonts w:cs="Arial"/>
          <w:b/>
          <w:sz w:val="20"/>
          <w:szCs w:val="20"/>
        </w:rPr>
        <w:t xml:space="preserve">2 </w:t>
      </w:r>
      <w:r>
        <w:rPr>
          <w:rFonts w:cs="Arial"/>
          <w:b/>
          <w:sz w:val="20"/>
          <w:szCs w:val="20"/>
        </w:rPr>
        <w:tab/>
        <w:t>No-Action Relief</w:t>
      </w:r>
    </w:p>
    <w:p w:rsidR="00B00745" w:rsidRDefault="00B00745" w:rsidP="00B00745">
      <w:pPr>
        <w:spacing w:after="0"/>
        <w:ind w:left="720" w:hanging="720"/>
        <w:rPr>
          <w:rFonts w:cs="Arial"/>
          <w:sz w:val="20"/>
          <w:szCs w:val="20"/>
        </w:rPr>
      </w:pPr>
    </w:p>
    <w:p w:rsidR="00B00745" w:rsidRPr="0011767B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  <w:bookmarkStart w:id="14" w:name="_DV_M12"/>
      <w:bookmarkEnd w:id="14"/>
      <w:r>
        <w:rPr>
          <w:rFonts w:cs="Arial"/>
          <w:sz w:val="20"/>
          <w:szCs w:val="20"/>
        </w:rPr>
        <w:t xml:space="preserve">2.1 </w:t>
      </w:r>
      <w:r>
        <w:rPr>
          <w:rFonts w:cs="Arial"/>
          <w:sz w:val="20"/>
          <w:szCs w:val="20"/>
        </w:rPr>
        <w:tab/>
        <w:t>On 21 December 2012, SGX-DC submitted a letter of request ("</w:t>
      </w:r>
      <w:r>
        <w:rPr>
          <w:rFonts w:cs="Arial"/>
          <w:b/>
          <w:sz w:val="20"/>
          <w:szCs w:val="20"/>
        </w:rPr>
        <w:t>Request Letter</w:t>
      </w:r>
      <w:r>
        <w:rPr>
          <w:rFonts w:cs="Arial"/>
          <w:sz w:val="20"/>
          <w:szCs w:val="20"/>
        </w:rPr>
        <w:t>") to the Commission for no-action relief from, among other things, CEA Section 4d(f)(1) in respect of SGX-DC Clearing Members clearing OTC Commodity Contracts (the "</w:t>
      </w:r>
      <w:r>
        <w:rPr>
          <w:rFonts w:cs="Arial"/>
          <w:b/>
          <w:sz w:val="20"/>
          <w:szCs w:val="20"/>
        </w:rPr>
        <w:t>Relief</w:t>
      </w:r>
      <w:r>
        <w:rPr>
          <w:rFonts w:cs="Arial"/>
          <w:sz w:val="20"/>
          <w:szCs w:val="20"/>
        </w:rPr>
        <w:t xml:space="preserve">"). A copy of SGX-DC's Request Letter is attached as </w:t>
      </w:r>
      <w:bookmarkStart w:id="15" w:name="_DV_C6"/>
      <w:r>
        <w:rPr>
          <w:rFonts w:cs="Arial"/>
          <w:sz w:val="20"/>
          <w:szCs w:val="20"/>
          <w:u w:val="single"/>
        </w:rPr>
        <w:t>Appendix 1</w:t>
      </w:r>
      <w:bookmarkEnd w:id="15"/>
      <w:r>
        <w:rPr>
          <w:rFonts w:cs="Arial"/>
          <w:sz w:val="20"/>
          <w:szCs w:val="20"/>
        </w:rPr>
        <w:t>.</w:t>
      </w: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  <w:bookmarkStart w:id="16" w:name="_DV_M13"/>
      <w:bookmarkEnd w:id="16"/>
      <w:r>
        <w:rPr>
          <w:rFonts w:cs="Arial"/>
          <w:sz w:val="20"/>
          <w:szCs w:val="20"/>
        </w:rPr>
        <w:t xml:space="preserve">2.2 </w:t>
      </w:r>
      <w:r>
        <w:rPr>
          <w:rFonts w:cs="Arial"/>
          <w:sz w:val="20"/>
          <w:szCs w:val="20"/>
        </w:rPr>
        <w:tab/>
        <w:t xml:space="preserve">The Relief was initially granted by the Commission on 21 December 2012. </w:t>
      </w:r>
      <w:bookmarkStart w:id="17" w:name="_DV_C9"/>
      <w:r>
        <w:rPr>
          <w:rStyle w:val="DeltaViewDeletion"/>
          <w:rFonts w:cs="Arial"/>
          <w:sz w:val="20"/>
          <w:szCs w:val="20"/>
        </w:rPr>
        <w:t xml:space="preserve">A </w:t>
      </w:r>
      <w:proofErr w:type="spellStart"/>
      <w:r>
        <w:rPr>
          <w:rStyle w:val="DeltaViewDeletion"/>
          <w:rFonts w:cs="Arial"/>
          <w:sz w:val="20"/>
          <w:szCs w:val="20"/>
        </w:rPr>
        <w:t>copy</w:t>
      </w:r>
      <w:bookmarkStart w:id="18" w:name="_DV_C10"/>
      <w:bookmarkEnd w:id="17"/>
      <w:r>
        <w:rPr>
          <w:rStyle w:val="DeltaViewInsertion"/>
          <w:rFonts w:cs="Arial"/>
          <w:sz w:val="20"/>
          <w:szCs w:val="20"/>
        </w:rPr>
        <w:t>On</w:t>
      </w:r>
      <w:proofErr w:type="spellEnd"/>
      <w:r>
        <w:rPr>
          <w:rStyle w:val="DeltaViewInsertion"/>
          <w:rFonts w:cs="Arial"/>
          <w:sz w:val="20"/>
          <w:szCs w:val="20"/>
        </w:rPr>
        <w:t xml:space="preserve"> 20 December 2013, the Commission extended the Relief until 31 March 2014. Copies</w:t>
      </w:r>
      <w:bookmarkStart w:id="19" w:name="_DV_M14"/>
      <w:bookmarkEnd w:id="18"/>
      <w:bookmarkEnd w:id="19"/>
      <w:r>
        <w:rPr>
          <w:rFonts w:cs="Arial"/>
          <w:sz w:val="20"/>
          <w:szCs w:val="20"/>
        </w:rPr>
        <w:t xml:space="preserve"> of the Commission's </w:t>
      </w:r>
      <w:bookmarkStart w:id="20" w:name="_DV_C11"/>
      <w:r>
        <w:rPr>
          <w:rStyle w:val="DeltaViewDeletion"/>
          <w:rFonts w:cs="Arial"/>
          <w:sz w:val="20"/>
          <w:szCs w:val="20"/>
        </w:rPr>
        <w:t xml:space="preserve">letter </w:t>
      </w:r>
      <w:proofErr w:type="spellStart"/>
      <w:r>
        <w:rPr>
          <w:rStyle w:val="DeltaViewDeletion"/>
          <w:rFonts w:cs="Arial"/>
          <w:sz w:val="20"/>
          <w:szCs w:val="20"/>
        </w:rPr>
        <w:t>is</w:t>
      </w:r>
      <w:bookmarkStart w:id="21" w:name="_DV_C12"/>
      <w:bookmarkEnd w:id="20"/>
      <w:r>
        <w:rPr>
          <w:rStyle w:val="DeltaViewInsertion"/>
          <w:rFonts w:cs="Arial"/>
          <w:sz w:val="20"/>
          <w:szCs w:val="20"/>
        </w:rPr>
        <w:t>letters</w:t>
      </w:r>
      <w:proofErr w:type="spellEnd"/>
      <w:r>
        <w:rPr>
          <w:rStyle w:val="DeltaViewInsertion"/>
          <w:rFonts w:cs="Arial"/>
          <w:sz w:val="20"/>
          <w:szCs w:val="20"/>
        </w:rPr>
        <w:t xml:space="preserve"> are</w:t>
      </w:r>
      <w:bookmarkStart w:id="22" w:name="_DV_M15"/>
      <w:bookmarkEnd w:id="21"/>
      <w:bookmarkEnd w:id="22"/>
      <w:r>
        <w:rPr>
          <w:rFonts w:cs="Arial"/>
          <w:sz w:val="20"/>
          <w:szCs w:val="20"/>
        </w:rPr>
        <w:t xml:space="preserve"> attached as </w:t>
      </w:r>
      <w:r>
        <w:rPr>
          <w:rFonts w:cs="Arial"/>
          <w:sz w:val="20"/>
          <w:szCs w:val="20"/>
          <w:u w:val="single"/>
        </w:rPr>
        <w:t>Appendix 2</w:t>
      </w:r>
      <w:r>
        <w:rPr>
          <w:rFonts w:cs="Arial"/>
          <w:sz w:val="20"/>
          <w:szCs w:val="20"/>
        </w:rPr>
        <w:t xml:space="preserve"> </w:t>
      </w:r>
      <w:bookmarkStart w:id="23" w:name="_DV_C15"/>
      <w:r>
        <w:rPr>
          <w:rStyle w:val="DeltaViewInsertion"/>
          <w:rFonts w:cs="Arial"/>
          <w:sz w:val="20"/>
          <w:szCs w:val="20"/>
        </w:rPr>
        <w:t>and Appendix 3.</w:t>
      </w:r>
      <w:bookmarkStart w:id="24" w:name="_DV_M16"/>
      <w:bookmarkEnd w:id="23"/>
      <w:bookmarkEnd w:id="24"/>
      <w:r>
        <w:rPr>
          <w:rFonts w:cs="Arial"/>
          <w:sz w:val="20"/>
          <w:szCs w:val="20"/>
        </w:rPr>
        <w:t xml:space="preserve"> </w:t>
      </w: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  <w:bookmarkStart w:id="25" w:name="_DV_M17"/>
      <w:bookmarkEnd w:id="25"/>
      <w:r>
        <w:rPr>
          <w:rFonts w:cs="Arial"/>
          <w:sz w:val="20"/>
          <w:szCs w:val="20"/>
        </w:rPr>
        <w:lastRenderedPageBreak/>
        <w:t>2.3</w:t>
      </w:r>
      <w:r>
        <w:rPr>
          <w:rFonts w:cs="Arial"/>
          <w:sz w:val="20"/>
          <w:szCs w:val="20"/>
        </w:rPr>
        <w:tab/>
        <w:t xml:space="preserve">On </w:t>
      </w:r>
      <w:bookmarkStart w:id="26" w:name="_DV_C16"/>
      <w:r>
        <w:rPr>
          <w:rStyle w:val="DeltaViewDeletion"/>
          <w:rFonts w:cs="Arial"/>
          <w:sz w:val="20"/>
          <w:szCs w:val="20"/>
        </w:rPr>
        <w:t>20 December 2013</w:t>
      </w:r>
      <w:proofErr w:type="gramStart"/>
      <w:r>
        <w:rPr>
          <w:rStyle w:val="DeltaViewDeletion"/>
          <w:rFonts w:cs="Arial"/>
          <w:sz w:val="20"/>
          <w:szCs w:val="20"/>
        </w:rPr>
        <w:t>,</w:t>
      </w:r>
      <w:bookmarkStart w:id="27" w:name="_DV_C17"/>
      <w:bookmarkEnd w:id="26"/>
      <w:r>
        <w:rPr>
          <w:rStyle w:val="DeltaViewInsertion"/>
          <w:rFonts w:cs="Arial"/>
          <w:sz w:val="20"/>
          <w:szCs w:val="20"/>
        </w:rPr>
        <w:t>28</w:t>
      </w:r>
      <w:proofErr w:type="gramEnd"/>
      <w:r>
        <w:rPr>
          <w:rStyle w:val="DeltaViewInsertion"/>
          <w:rFonts w:cs="Arial"/>
          <w:sz w:val="20"/>
          <w:szCs w:val="20"/>
        </w:rPr>
        <w:t xml:space="preserve"> March 2014,</w:t>
      </w:r>
      <w:bookmarkStart w:id="28" w:name="_DV_M18"/>
      <w:bookmarkEnd w:id="27"/>
      <w:bookmarkEnd w:id="28"/>
      <w:r>
        <w:rPr>
          <w:rFonts w:cs="Arial"/>
          <w:sz w:val="20"/>
          <w:szCs w:val="20"/>
        </w:rPr>
        <w:t xml:space="preserve"> the Commission</w:t>
      </w:r>
      <w:bookmarkStart w:id="29" w:name="_DV_C18"/>
      <w:r>
        <w:rPr>
          <w:rStyle w:val="DeltaViewInsertion"/>
          <w:rFonts w:cs="Arial"/>
          <w:sz w:val="20"/>
          <w:szCs w:val="20"/>
        </w:rPr>
        <w:t xml:space="preserve"> further</w:t>
      </w:r>
      <w:bookmarkStart w:id="30" w:name="_DV_M19"/>
      <w:bookmarkEnd w:id="29"/>
      <w:bookmarkEnd w:id="30"/>
      <w:r>
        <w:rPr>
          <w:rFonts w:cs="Arial"/>
          <w:sz w:val="20"/>
          <w:szCs w:val="20"/>
        </w:rPr>
        <w:t xml:space="preserve"> extended the Relief until the earlier of</w:t>
      </w:r>
      <w:bookmarkStart w:id="31" w:name="_DV_C19"/>
      <w:r>
        <w:rPr>
          <w:rStyle w:val="DeltaViewDeletion"/>
          <w:rFonts w:cs="Arial"/>
          <w:sz w:val="20"/>
          <w:szCs w:val="20"/>
        </w:rPr>
        <w:t>:</w:t>
      </w:r>
      <w:bookmarkStart w:id="32" w:name="_DV_M20"/>
      <w:bookmarkEnd w:id="31"/>
      <w:bookmarkEnd w:id="32"/>
      <w:r>
        <w:rPr>
          <w:rFonts w:cs="Arial"/>
          <w:sz w:val="20"/>
          <w:szCs w:val="20"/>
        </w:rPr>
        <w:t xml:space="preserve"> (a) </w:t>
      </w:r>
      <w:bookmarkStart w:id="33" w:name="_DV_C20"/>
      <w:r>
        <w:rPr>
          <w:rStyle w:val="DeltaViewDeletion"/>
          <w:rFonts w:cs="Arial"/>
          <w:sz w:val="20"/>
          <w:szCs w:val="20"/>
        </w:rPr>
        <w:t>31 March</w:t>
      </w:r>
      <w:bookmarkStart w:id="34" w:name="_DV_C21"/>
      <w:bookmarkEnd w:id="33"/>
      <w:r>
        <w:rPr>
          <w:rStyle w:val="DeltaViewInsertion"/>
          <w:rFonts w:cs="Arial"/>
          <w:sz w:val="20"/>
          <w:szCs w:val="20"/>
        </w:rPr>
        <w:t>30 April</w:t>
      </w:r>
      <w:bookmarkStart w:id="35" w:name="_DV_M21"/>
      <w:bookmarkEnd w:id="34"/>
      <w:bookmarkEnd w:id="35"/>
      <w:r>
        <w:rPr>
          <w:rFonts w:cs="Arial"/>
          <w:sz w:val="20"/>
          <w:szCs w:val="20"/>
        </w:rPr>
        <w:t xml:space="preserve"> 2014</w:t>
      </w:r>
      <w:bookmarkStart w:id="36" w:name="_DV_C22"/>
      <w:r>
        <w:rPr>
          <w:rStyle w:val="DeltaViewDeletion"/>
          <w:rFonts w:cs="Arial"/>
          <w:sz w:val="20"/>
          <w:szCs w:val="20"/>
        </w:rPr>
        <w:t>;</w:t>
      </w:r>
      <w:bookmarkStart w:id="37" w:name="_DV_M22"/>
      <w:bookmarkEnd w:id="36"/>
      <w:bookmarkEnd w:id="37"/>
      <w:r>
        <w:rPr>
          <w:rFonts w:cs="Arial"/>
          <w:sz w:val="20"/>
          <w:szCs w:val="20"/>
        </w:rPr>
        <w:t xml:space="preserve"> or (b) the date upon which all OTC Commodity Contracts positions of Affected U.S. Persons</w:t>
      </w:r>
      <w:r>
        <w:rPr>
          <w:rFonts w:cs="Arial"/>
          <w:sz w:val="20"/>
          <w:szCs w:val="20"/>
          <w:vertAlign w:val="superscript"/>
        </w:rPr>
        <w:footnoteReference w:customMarkFollows="1" w:id="2"/>
        <w:t>1</w:t>
      </w:r>
      <w:bookmarkStart w:id="38" w:name="_DV_M23"/>
      <w:bookmarkEnd w:id="38"/>
      <w:r>
        <w:rPr>
          <w:rFonts w:cs="Arial"/>
          <w:sz w:val="20"/>
          <w:szCs w:val="20"/>
        </w:rPr>
        <w:t xml:space="preserve"> </w:t>
      </w:r>
      <w:bookmarkStart w:id="39" w:name="_DV_C23"/>
      <w:r>
        <w:rPr>
          <w:rStyle w:val="DeltaViewInsertion"/>
          <w:rFonts w:cs="Arial"/>
          <w:sz w:val="20"/>
          <w:szCs w:val="20"/>
        </w:rPr>
        <w:t xml:space="preserve">and FCM customers </w:t>
      </w:r>
      <w:bookmarkStart w:id="40" w:name="_DV_M24"/>
      <w:bookmarkEnd w:id="39"/>
      <w:bookmarkEnd w:id="40"/>
      <w:r>
        <w:rPr>
          <w:rFonts w:cs="Arial"/>
          <w:sz w:val="20"/>
          <w:szCs w:val="20"/>
        </w:rPr>
        <w:t>have either been closed or transferred to an FCM Clearing Member. After such date, SGX-DC may not clear for Affected U.S. Persons or other U.S. customers unless such customers clear through an FCM Clearing Member. A copy of the Commission’s</w:t>
      </w:r>
      <w:bookmarkStart w:id="41" w:name="_DV_C24"/>
      <w:r>
        <w:rPr>
          <w:rStyle w:val="DeltaViewInsertion"/>
          <w:rFonts w:cs="Arial"/>
          <w:sz w:val="20"/>
          <w:szCs w:val="20"/>
        </w:rPr>
        <w:t xml:space="preserve"> further</w:t>
      </w:r>
      <w:bookmarkStart w:id="42" w:name="_DV_M25"/>
      <w:bookmarkEnd w:id="41"/>
      <w:bookmarkEnd w:id="42"/>
      <w:r>
        <w:rPr>
          <w:rFonts w:cs="Arial"/>
          <w:sz w:val="20"/>
          <w:szCs w:val="20"/>
        </w:rPr>
        <w:t xml:space="preserve"> extension letter is attached as </w:t>
      </w:r>
      <w:r>
        <w:rPr>
          <w:rFonts w:cs="Arial"/>
          <w:sz w:val="20"/>
          <w:szCs w:val="20"/>
          <w:u w:val="single"/>
        </w:rPr>
        <w:t xml:space="preserve">Appendix </w:t>
      </w:r>
      <w:bookmarkStart w:id="43" w:name="_DV_C25"/>
      <w:r>
        <w:rPr>
          <w:rStyle w:val="DeltaViewDeletion"/>
          <w:rFonts w:cs="Arial"/>
          <w:sz w:val="20"/>
          <w:szCs w:val="20"/>
          <w:u w:val="single"/>
        </w:rPr>
        <w:t>3</w:t>
      </w:r>
      <w:r>
        <w:rPr>
          <w:rStyle w:val="DeltaViewDeletion"/>
          <w:rFonts w:cs="Arial"/>
          <w:sz w:val="20"/>
          <w:szCs w:val="20"/>
        </w:rPr>
        <w:t>.</w:t>
      </w:r>
      <w:bookmarkStart w:id="44" w:name="_DV_C26"/>
      <w:bookmarkEnd w:id="43"/>
      <w:r>
        <w:rPr>
          <w:rStyle w:val="DeltaViewInsertion"/>
          <w:rFonts w:cs="Arial"/>
          <w:sz w:val="20"/>
          <w:szCs w:val="20"/>
        </w:rPr>
        <w:t>4.</w:t>
      </w:r>
      <w:bookmarkEnd w:id="44"/>
    </w:p>
    <w:p w:rsidR="00B00745" w:rsidRDefault="00B00745" w:rsidP="00B00745">
      <w:pPr>
        <w:spacing w:after="0"/>
        <w:ind w:left="720" w:hanging="720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  <w:bookmarkStart w:id="45" w:name="_DV_M26"/>
      <w:bookmarkEnd w:id="45"/>
      <w:r>
        <w:rPr>
          <w:rFonts w:cs="Arial"/>
          <w:sz w:val="20"/>
          <w:szCs w:val="20"/>
        </w:rPr>
        <w:t xml:space="preserve">2.4 </w:t>
      </w:r>
      <w:r>
        <w:rPr>
          <w:rFonts w:cs="Arial"/>
          <w:sz w:val="20"/>
          <w:szCs w:val="20"/>
        </w:rPr>
        <w:tab/>
        <w:t>The Relief permits non-FCM Clearing Members to continue carrying existing positions in OTC Commodity Contracts for Affected U.S. Persons</w:t>
      </w:r>
      <w:bookmarkStart w:id="46" w:name="_DV_C27"/>
      <w:r>
        <w:rPr>
          <w:rStyle w:val="DeltaViewInsertion"/>
          <w:rFonts w:cs="Arial"/>
          <w:sz w:val="20"/>
          <w:szCs w:val="20"/>
        </w:rPr>
        <w:t xml:space="preserve"> or on behalf of FCM customers clearing through an FCM omnibus customer account</w:t>
      </w:r>
      <w:bookmarkStart w:id="47" w:name="_DV_M27"/>
      <w:bookmarkEnd w:id="46"/>
      <w:bookmarkEnd w:id="47"/>
      <w:r>
        <w:rPr>
          <w:rFonts w:cs="Arial"/>
          <w:sz w:val="20"/>
          <w:szCs w:val="20"/>
        </w:rPr>
        <w:t xml:space="preserve"> until the expiration of the Relief. </w:t>
      </w: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  <w:bookmarkStart w:id="48" w:name="_DV_M28"/>
      <w:bookmarkEnd w:id="48"/>
      <w:r>
        <w:rPr>
          <w:rFonts w:cs="Arial"/>
          <w:sz w:val="20"/>
          <w:szCs w:val="20"/>
        </w:rPr>
        <w:t>2.5</w:t>
      </w:r>
      <w:r>
        <w:rPr>
          <w:rFonts w:cs="Arial"/>
          <w:sz w:val="20"/>
          <w:szCs w:val="20"/>
        </w:rPr>
        <w:tab/>
        <w:t xml:space="preserve">With respect to new positions in OTC Commodity Contracts, only positions entered into for the purpose of offsetting existing positions of Affected U.S. Persons </w:t>
      </w:r>
      <w:bookmarkStart w:id="49" w:name="_DV_C28"/>
      <w:r>
        <w:rPr>
          <w:rStyle w:val="DeltaViewInsertion"/>
          <w:rFonts w:cs="Arial"/>
          <w:sz w:val="20"/>
          <w:szCs w:val="20"/>
        </w:rPr>
        <w:t xml:space="preserve">or on behalf of FCM customers clearing through an FCM omnibus customer account </w:t>
      </w:r>
      <w:bookmarkStart w:id="50" w:name="_DV_M29"/>
      <w:bookmarkEnd w:id="49"/>
      <w:bookmarkEnd w:id="50"/>
      <w:r>
        <w:rPr>
          <w:rFonts w:cs="Arial"/>
          <w:sz w:val="20"/>
          <w:szCs w:val="20"/>
        </w:rPr>
        <w:t>may be cleared. It is noted that such offsetting transactions shall be cleared by SGX-DC in accordance with the straight-through processing requirements under the Commission’s regulations</w:t>
      </w:r>
      <w:r>
        <w:rPr>
          <w:rFonts w:cs="Arial"/>
          <w:sz w:val="20"/>
          <w:szCs w:val="20"/>
          <w:vertAlign w:val="superscript"/>
        </w:rPr>
        <w:footnoteReference w:customMarkFollows="1" w:id="3"/>
        <w:t>2</w:t>
      </w:r>
      <w:bookmarkStart w:id="51" w:name="_DV_M30"/>
      <w:bookmarkEnd w:id="51"/>
      <w:r>
        <w:rPr>
          <w:rFonts w:cs="Arial"/>
          <w:sz w:val="20"/>
          <w:szCs w:val="20"/>
        </w:rPr>
        <w:t>.</w:t>
      </w: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  <w:bookmarkStart w:id="52" w:name="_DV_M31"/>
      <w:bookmarkEnd w:id="52"/>
      <w:r>
        <w:rPr>
          <w:rFonts w:cs="Arial"/>
          <w:sz w:val="20"/>
          <w:szCs w:val="20"/>
        </w:rPr>
        <w:t>2.6</w:t>
      </w:r>
      <w:r>
        <w:rPr>
          <w:rFonts w:cs="Arial"/>
          <w:sz w:val="20"/>
          <w:szCs w:val="20"/>
        </w:rPr>
        <w:tab/>
        <w:t>The Relief has been granted on the condition that Clearing Members issue to Affected U.S. Persons</w:t>
      </w:r>
      <w:r w:rsidR="00F256D1">
        <w:rPr>
          <w:rFonts w:cs="Arial"/>
          <w:sz w:val="20"/>
          <w:szCs w:val="20"/>
        </w:rPr>
        <w:t xml:space="preserve"> </w:t>
      </w:r>
      <w:r w:rsidR="00F256D1">
        <w:rPr>
          <w:rStyle w:val="DeltaViewInsertion"/>
          <w:rFonts w:cs="Arial"/>
          <w:sz w:val="20"/>
          <w:szCs w:val="20"/>
        </w:rPr>
        <w:t>and any FCM that maintains an FCM omnibus customer account</w:t>
      </w:r>
      <w:r>
        <w:rPr>
          <w:rFonts w:cs="Arial"/>
          <w:sz w:val="20"/>
          <w:szCs w:val="20"/>
        </w:rPr>
        <w:t xml:space="preserve"> a disclosure statement as specified in section 3 below (the "</w:t>
      </w:r>
      <w:r>
        <w:rPr>
          <w:rFonts w:cs="Arial"/>
          <w:b/>
          <w:sz w:val="20"/>
          <w:szCs w:val="20"/>
        </w:rPr>
        <w:t>Disclosure Statement</w:t>
      </w:r>
      <w:r>
        <w:rPr>
          <w:rFonts w:cs="Arial"/>
          <w:sz w:val="20"/>
          <w:szCs w:val="20"/>
        </w:rPr>
        <w:t>").</w:t>
      </w: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720" w:hanging="720"/>
        <w:rPr>
          <w:rFonts w:cs="Arial"/>
          <w:sz w:val="20"/>
          <w:szCs w:val="20"/>
        </w:rPr>
      </w:pPr>
      <w:bookmarkStart w:id="53" w:name="_DV_M32"/>
      <w:bookmarkEnd w:id="53"/>
      <w:r>
        <w:rPr>
          <w:rFonts w:cs="Arial"/>
          <w:b/>
          <w:sz w:val="20"/>
          <w:szCs w:val="20"/>
        </w:rPr>
        <w:t xml:space="preserve">3 </w:t>
      </w:r>
      <w:r>
        <w:rPr>
          <w:rFonts w:cs="Arial"/>
          <w:b/>
          <w:sz w:val="20"/>
          <w:szCs w:val="20"/>
        </w:rPr>
        <w:tab/>
        <w:t>Disclosure Statement Requirement</w:t>
      </w:r>
    </w:p>
    <w:p w:rsidR="00B00745" w:rsidRDefault="00B00745" w:rsidP="00B00745">
      <w:pPr>
        <w:spacing w:after="0"/>
        <w:ind w:left="720" w:hanging="720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  <w:bookmarkStart w:id="54" w:name="_DV_M33"/>
      <w:bookmarkEnd w:id="54"/>
      <w:r>
        <w:rPr>
          <w:rFonts w:cs="Arial"/>
          <w:sz w:val="20"/>
          <w:szCs w:val="20"/>
        </w:rPr>
        <w:t>3.1</w:t>
      </w:r>
      <w:r>
        <w:rPr>
          <w:rFonts w:cs="Arial"/>
          <w:sz w:val="20"/>
          <w:szCs w:val="20"/>
        </w:rPr>
        <w:tab/>
        <w:t xml:space="preserve">SGX-DC hereby directs Clearing Members who clear OTC Commodity Contracts for Affected U.S. Persons </w:t>
      </w:r>
      <w:bookmarkStart w:id="55" w:name="_DV_C29"/>
      <w:r>
        <w:rPr>
          <w:rStyle w:val="DeltaViewInsertion"/>
          <w:rFonts w:cs="Arial"/>
          <w:sz w:val="20"/>
          <w:szCs w:val="20"/>
        </w:rPr>
        <w:t xml:space="preserve">or FCM customers </w:t>
      </w:r>
      <w:bookmarkStart w:id="56" w:name="_DV_M34"/>
      <w:bookmarkEnd w:id="55"/>
      <w:bookmarkEnd w:id="56"/>
      <w:r>
        <w:rPr>
          <w:rFonts w:cs="Arial"/>
          <w:sz w:val="20"/>
          <w:szCs w:val="20"/>
        </w:rPr>
        <w:t>to issue a Disclosure Statement to such customers</w:t>
      </w:r>
      <w:bookmarkStart w:id="57" w:name="_DV_C30"/>
      <w:r>
        <w:rPr>
          <w:rStyle w:val="DeltaViewInsertion"/>
          <w:rFonts w:cs="Arial"/>
          <w:sz w:val="20"/>
          <w:szCs w:val="20"/>
        </w:rPr>
        <w:t xml:space="preserve"> or to the FCM, as the case may be,</w:t>
      </w:r>
      <w:bookmarkStart w:id="58" w:name="_DV_M35"/>
      <w:bookmarkEnd w:id="57"/>
      <w:bookmarkEnd w:id="58"/>
      <w:r>
        <w:rPr>
          <w:rFonts w:cs="Arial"/>
          <w:sz w:val="20"/>
          <w:szCs w:val="20"/>
        </w:rPr>
        <w:t xml:space="preserve"> that prominently states the following statements:</w:t>
      </w:r>
    </w:p>
    <w:p w:rsidR="00B00745" w:rsidRDefault="00B00745" w:rsidP="00B00745">
      <w:pPr>
        <w:spacing w:after="0"/>
        <w:ind w:left="720" w:hanging="720"/>
        <w:jc w:val="both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1440" w:hanging="720"/>
        <w:jc w:val="both"/>
        <w:rPr>
          <w:rFonts w:cs="Arial"/>
          <w:sz w:val="20"/>
          <w:szCs w:val="20"/>
        </w:rPr>
      </w:pPr>
      <w:bookmarkStart w:id="59" w:name="_DV_M36"/>
      <w:bookmarkEnd w:id="59"/>
      <w:r>
        <w:rPr>
          <w:rFonts w:cs="Arial"/>
          <w:sz w:val="20"/>
          <w:szCs w:val="20"/>
        </w:rPr>
        <w:t xml:space="preserve">(a) </w:t>
      </w:r>
      <w:r>
        <w:rPr>
          <w:rFonts w:cs="Arial"/>
          <w:sz w:val="20"/>
          <w:szCs w:val="20"/>
        </w:rPr>
        <w:tab/>
      </w:r>
      <w:proofErr w:type="gramStart"/>
      <w:r>
        <w:rPr>
          <w:rFonts w:cs="Arial"/>
          <w:sz w:val="20"/>
          <w:szCs w:val="20"/>
        </w:rPr>
        <w:t>accounts</w:t>
      </w:r>
      <w:proofErr w:type="gramEnd"/>
      <w:r>
        <w:rPr>
          <w:rFonts w:cs="Arial"/>
          <w:sz w:val="20"/>
          <w:szCs w:val="20"/>
        </w:rPr>
        <w:t xml:space="preserve"> holding customer positions in OTC Commodity Contracts and related customer property are not subject to Section 4d(f) of the CEA;</w:t>
      </w:r>
    </w:p>
    <w:p w:rsidR="00B00745" w:rsidRDefault="00B00745" w:rsidP="00B00745">
      <w:pPr>
        <w:spacing w:after="0"/>
        <w:ind w:left="1440" w:hanging="720"/>
        <w:jc w:val="both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1440" w:hanging="720"/>
        <w:jc w:val="both"/>
        <w:rPr>
          <w:rFonts w:cs="Arial"/>
          <w:sz w:val="20"/>
          <w:szCs w:val="20"/>
        </w:rPr>
      </w:pPr>
      <w:bookmarkStart w:id="60" w:name="_DV_M37"/>
      <w:bookmarkEnd w:id="60"/>
      <w:r>
        <w:rPr>
          <w:rFonts w:cs="Arial"/>
          <w:sz w:val="20"/>
          <w:szCs w:val="20"/>
        </w:rPr>
        <w:t xml:space="preserve">(b) </w:t>
      </w:r>
      <w:r>
        <w:rPr>
          <w:rFonts w:cs="Arial"/>
          <w:sz w:val="20"/>
          <w:szCs w:val="20"/>
        </w:rPr>
        <w:tab/>
      </w:r>
      <w:proofErr w:type="gramStart"/>
      <w:r>
        <w:rPr>
          <w:rFonts w:cs="Arial"/>
          <w:sz w:val="20"/>
          <w:szCs w:val="20"/>
        </w:rPr>
        <w:t>such</w:t>
      </w:r>
      <w:proofErr w:type="gramEnd"/>
      <w:r>
        <w:rPr>
          <w:rFonts w:cs="Arial"/>
          <w:sz w:val="20"/>
          <w:szCs w:val="20"/>
        </w:rPr>
        <w:t xml:space="preserve"> positions and related property will not be subject to, and therefore will not receive the protections of, Subchapter IV of Chapter 7 of the U.S. Bankruptcy Code and Part 190 of the Commission's regulations;</w:t>
      </w:r>
    </w:p>
    <w:p w:rsidR="00B00745" w:rsidRDefault="00B00745" w:rsidP="00B00745">
      <w:pPr>
        <w:spacing w:after="0"/>
        <w:jc w:val="both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1440" w:hanging="720"/>
        <w:jc w:val="both"/>
        <w:rPr>
          <w:rFonts w:cs="Arial"/>
          <w:sz w:val="20"/>
          <w:szCs w:val="20"/>
        </w:rPr>
      </w:pPr>
      <w:bookmarkStart w:id="61" w:name="_DV_M38"/>
      <w:bookmarkEnd w:id="61"/>
      <w:r>
        <w:rPr>
          <w:rFonts w:cs="Arial"/>
          <w:sz w:val="20"/>
          <w:szCs w:val="20"/>
        </w:rPr>
        <w:t xml:space="preserve">(c) </w:t>
      </w:r>
      <w:r>
        <w:rPr>
          <w:rFonts w:cs="Arial"/>
          <w:sz w:val="20"/>
          <w:szCs w:val="20"/>
        </w:rPr>
        <w:tab/>
        <w:t>the treatment of the customer positions and related property in the event of an insolvency proceeding of SGX-DC or any of its Clearing Members will be subject to Singapore's laws; and</w:t>
      </w:r>
    </w:p>
    <w:p w:rsidR="00B00745" w:rsidRDefault="00B00745" w:rsidP="00B00745">
      <w:pPr>
        <w:spacing w:after="0"/>
        <w:ind w:left="1440" w:hanging="720"/>
        <w:jc w:val="both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1440" w:hanging="720"/>
        <w:jc w:val="both"/>
        <w:rPr>
          <w:rFonts w:cs="Arial"/>
          <w:sz w:val="20"/>
          <w:szCs w:val="20"/>
        </w:rPr>
      </w:pPr>
      <w:bookmarkStart w:id="62" w:name="_DV_M39"/>
      <w:bookmarkEnd w:id="62"/>
      <w:r>
        <w:rPr>
          <w:rFonts w:cs="Arial"/>
          <w:sz w:val="20"/>
          <w:szCs w:val="20"/>
        </w:rPr>
        <w:lastRenderedPageBreak/>
        <w:t>(d)</w:t>
      </w:r>
      <w:r>
        <w:rPr>
          <w:rFonts w:cs="Arial"/>
          <w:sz w:val="20"/>
          <w:szCs w:val="20"/>
        </w:rPr>
        <w:tab/>
      </w:r>
      <w:proofErr w:type="gramStart"/>
      <w:r>
        <w:rPr>
          <w:rFonts w:cs="Arial"/>
          <w:sz w:val="20"/>
          <w:szCs w:val="20"/>
        </w:rPr>
        <w:t>the</w:t>
      </w:r>
      <w:proofErr w:type="gramEnd"/>
      <w:r>
        <w:rPr>
          <w:rFonts w:cs="Arial"/>
          <w:sz w:val="20"/>
          <w:szCs w:val="20"/>
        </w:rPr>
        <w:t xml:space="preserve"> positions cleared by the Clearing Members on behalf of such customers are subject to the terms of the Relief, which is available for reference on SGX-DC’s website as </w:t>
      </w:r>
      <w:r>
        <w:rPr>
          <w:rFonts w:cs="Arial"/>
          <w:sz w:val="20"/>
          <w:szCs w:val="20"/>
          <w:u w:val="single"/>
        </w:rPr>
        <w:t xml:space="preserve">Appendix </w:t>
      </w:r>
      <w:bookmarkStart w:id="63" w:name="_DV_C31"/>
      <w:r>
        <w:rPr>
          <w:rStyle w:val="DeltaViewDeletion"/>
          <w:rFonts w:cs="Arial"/>
          <w:sz w:val="20"/>
          <w:szCs w:val="20"/>
        </w:rPr>
        <w:t>3</w:t>
      </w:r>
      <w:bookmarkStart w:id="64" w:name="_DV_C32"/>
      <w:bookmarkEnd w:id="63"/>
      <w:r>
        <w:rPr>
          <w:rStyle w:val="DeltaViewInsertion"/>
          <w:rFonts w:cs="Arial"/>
          <w:sz w:val="20"/>
          <w:szCs w:val="20"/>
        </w:rPr>
        <w:t>4</w:t>
      </w:r>
      <w:bookmarkStart w:id="65" w:name="_DV_M40"/>
      <w:bookmarkEnd w:id="64"/>
      <w:bookmarkEnd w:id="65"/>
      <w:r>
        <w:rPr>
          <w:rFonts w:cs="Arial"/>
          <w:sz w:val="20"/>
          <w:szCs w:val="20"/>
        </w:rPr>
        <w:t xml:space="preserve"> to Directive No. 1 in SGX-DC’s Clearing Rules.</w:t>
      </w:r>
    </w:p>
    <w:p w:rsidR="00B00745" w:rsidRDefault="00B00745" w:rsidP="00B00745">
      <w:pPr>
        <w:spacing w:after="0"/>
        <w:rPr>
          <w:rFonts w:cs="Arial"/>
          <w:sz w:val="20"/>
          <w:szCs w:val="20"/>
        </w:rPr>
      </w:pPr>
    </w:p>
    <w:p w:rsidR="00B00745" w:rsidRDefault="00B00745" w:rsidP="00B00745">
      <w:pPr>
        <w:spacing w:after="0"/>
        <w:ind w:left="720" w:hanging="720"/>
        <w:jc w:val="both"/>
      </w:pPr>
      <w:bookmarkStart w:id="66" w:name="_DV_M41"/>
      <w:bookmarkEnd w:id="66"/>
      <w:r>
        <w:rPr>
          <w:rFonts w:cs="Arial"/>
          <w:sz w:val="20"/>
          <w:szCs w:val="20"/>
        </w:rPr>
        <w:t xml:space="preserve">3.2 </w:t>
      </w:r>
      <w:r>
        <w:rPr>
          <w:rFonts w:cs="Arial"/>
          <w:sz w:val="20"/>
          <w:szCs w:val="20"/>
        </w:rPr>
        <w:tab/>
        <w:t xml:space="preserve">SGX-DC directs all Clearing Members clearing OTC Commodity Contracts for Affected U.S. Persons </w:t>
      </w:r>
      <w:r w:rsidR="00F256D1">
        <w:rPr>
          <w:rStyle w:val="DeltaViewInsertion"/>
          <w:rFonts w:cs="Arial"/>
          <w:sz w:val="20"/>
          <w:szCs w:val="20"/>
        </w:rPr>
        <w:t xml:space="preserve">or FCM customers </w:t>
      </w:r>
      <w:r>
        <w:rPr>
          <w:rFonts w:cs="Arial"/>
          <w:sz w:val="20"/>
          <w:szCs w:val="20"/>
        </w:rPr>
        <w:t xml:space="preserve">to issue the Disclosure Statement to the Affected U.S. Persons </w:t>
      </w:r>
      <w:r w:rsidR="00F256D1">
        <w:rPr>
          <w:rStyle w:val="DeltaViewInsertion"/>
          <w:rFonts w:cs="Arial"/>
          <w:sz w:val="20"/>
          <w:szCs w:val="20"/>
        </w:rPr>
        <w:t xml:space="preserve">or </w:t>
      </w:r>
      <w:r w:rsidR="00963370">
        <w:rPr>
          <w:rStyle w:val="DeltaViewInsertion"/>
          <w:rFonts w:cs="Arial"/>
          <w:sz w:val="20"/>
          <w:szCs w:val="20"/>
        </w:rPr>
        <w:t xml:space="preserve">the relevant </w:t>
      </w:r>
      <w:r w:rsidR="00F256D1">
        <w:rPr>
          <w:rStyle w:val="DeltaViewInsertion"/>
          <w:rFonts w:cs="Arial"/>
          <w:sz w:val="20"/>
          <w:szCs w:val="20"/>
        </w:rPr>
        <w:t xml:space="preserve">FCM </w:t>
      </w:r>
      <w:r>
        <w:rPr>
          <w:rFonts w:cs="Arial"/>
          <w:sz w:val="20"/>
          <w:szCs w:val="20"/>
        </w:rPr>
        <w:t>as soon as practicable</w:t>
      </w:r>
      <w:bookmarkStart w:id="67" w:name="_DV_C33"/>
      <w:r>
        <w:rPr>
          <w:rStyle w:val="DeltaViewDeletion"/>
          <w:rFonts w:cs="Arial"/>
          <w:sz w:val="20"/>
          <w:szCs w:val="20"/>
        </w:rPr>
        <w:t>, but in any event, no later than 27 January 2014.</w:t>
      </w:r>
      <w:bookmarkStart w:id="68" w:name="_DV_C34"/>
      <w:bookmarkEnd w:id="67"/>
      <w:r>
        <w:rPr>
          <w:rStyle w:val="DeltaViewInsertion"/>
          <w:rFonts w:cs="Arial"/>
          <w:sz w:val="20"/>
          <w:szCs w:val="20"/>
        </w:rPr>
        <w:t>.</w:t>
      </w:r>
      <w:bookmarkEnd w:id="68"/>
    </w:p>
    <w:p w:rsidR="00C56C92" w:rsidRPr="00B00745" w:rsidRDefault="00C56C92" w:rsidP="00B00745">
      <w:pPr>
        <w:pStyle w:val="Heading2"/>
        <w:spacing w:before="0" w:beforeAutospacing="0" w:after="0" w:afterAutospacing="0" w:line="276" w:lineRule="auto"/>
        <w:rPr>
          <w:rFonts w:ascii="Arial" w:hAnsi="Arial" w:cs="Arial"/>
          <w:b w:val="0"/>
          <w:bCs w:val="0"/>
          <w:sz w:val="30"/>
          <w:szCs w:val="30"/>
          <w:lang w:val="en-SG"/>
        </w:rPr>
      </w:pPr>
    </w:p>
    <w:sectPr w:rsidR="00C56C92" w:rsidRPr="00B00745" w:rsidSect="005D42B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2070" w:right="1134" w:bottom="2250" w:left="1134" w:header="680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7660" w:rsidRDefault="00A07660" w:rsidP="003A4C7A">
      <w:pPr>
        <w:spacing w:after="0" w:line="240" w:lineRule="auto"/>
      </w:pPr>
      <w:r>
        <w:separator/>
      </w:r>
    </w:p>
  </w:endnote>
  <w:endnote w:type="continuationSeparator" w:id="0">
    <w:p w:rsidR="00A07660" w:rsidRDefault="00A07660" w:rsidP="003A4C7A">
      <w:pPr>
        <w:spacing w:after="0" w:line="240" w:lineRule="auto"/>
      </w:pPr>
      <w:r>
        <w:continuationSeparator/>
      </w:r>
    </w:p>
  </w:endnote>
  <w:endnote w:type="continuationNotice" w:id="1">
    <w:p w:rsidR="00A07660" w:rsidRDefault="00A07660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etaBook-Roman">
    <w:altName w:val="Century Gothic"/>
    <w:charset w:val="00"/>
    <w:family w:val="swiss"/>
    <w:pitch w:val="variable"/>
    <w:sig w:usb0="8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FD1" w:rsidRDefault="009C2FD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6E5" w:rsidRPr="00E22ECD" w:rsidRDefault="005D36E5" w:rsidP="00E22ECD">
    <w:pPr>
      <w:pStyle w:val="Footer"/>
      <w:jc w:val="right"/>
      <w:rPr>
        <w:b/>
        <w:szCs w:val="1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FD1" w:rsidRDefault="009C2FD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7660" w:rsidRDefault="00A07660" w:rsidP="003A4C7A">
      <w:pPr>
        <w:spacing w:after="0" w:line="240" w:lineRule="auto"/>
      </w:pPr>
      <w:r>
        <w:separator/>
      </w:r>
    </w:p>
  </w:footnote>
  <w:footnote w:type="continuationSeparator" w:id="0">
    <w:p w:rsidR="00A07660" w:rsidRDefault="00A07660" w:rsidP="003A4C7A">
      <w:pPr>
        <w:spacing w:after="0" w:line="240" w:lineRule="auto"/>
      </w:pPr>
      <w:r>
        <w:continuationSeparator/>
      </w:r>
    </w:p>
  </w:footnote>
  <w:footnote w:type="continuationNotice" w:id="1">
    <w:p w:rsidR="00A07660" w:rsidRDefault="00A07660">
      <w:pPr>
        <w:spacing w:after="0" w:line="240" w:lineRule="auto"/>
      </w:pPr>
    </w:p>
  </w:footnote>
  <w:footnote w:id="2">
    <w:p w:rsidR="00B00745" w:rsidRDefault="00B00745" w:rsidP="00B00745">
      <w:pPr>
        <w:pStyle w:val="FootnoteText"/>
        <w:jc w:val="both"/>
        <w:rPr>
          <w:sz w:val="18"/>
          <w:lang w:val="en-US"/>
        </w:rPr>
      </w:pPr>
      <w:r>
        <w:rPr>
          <w:rFonts w:cs="Arial"/>
          <w:vertAlign w:val="superscript"/>
        </w:rPr>
        <w:t>1</w:t>
      </w:r>
      <w:r>
        <w:rPr>
          <w:sz w:val="18"/>
        </w:rPr>
        <w:t xml:space="preserve"> </w:t>
      </w:r>
      <w:r>
        <w:rPr>
          <w:sz w:val="18"/>
          <w:lang w:val="en-US"/>
        </w:rPr>
        <w:t>“</w:t>
      </w:r>
      <w:r>
        <w:rPr>
          <w:b/>
          <w:sz w:val="18"/>
          <w:lang w:val="en-US"/>
        </w:rPr>
        <w:t>Affected U.S. Persons</w:t>
      </w:r>
      <w:r>
        <w:rPr>
          <w:sz w:val="18"/>
          <w:lang w:val="en-US"/>
        </w:rPr>
        <w:t>” refers to U.S. customers of Clearing Members, who hold open positions in OTC Commodity Contracts as at 20 December 2013.</w:t>
      </w:r>
    </w:p>
  </w:footnote>
  <w:footnote w:id="3">
    <w:p w:rsidR="00B00745" w:rsidRDefault="00B00745" w:rsidP="00B00745">
      <w:pPr>
        <w:pStyle w:val="FootnoteText"/>
        <w:jc w:val="both"/>
        <w:rPr>
          <w:rFonts w:cs="Arial"/>
          <w:sz w:val="18"/>
        </w:rPr>
      </w:pPr>
      <w:r>
        <w:rPr>
          <w:rFonts w:cs="Arial"/>
          <w:vertAlign w:val="superscript"/>
        </w:rPr>
        <w:t>2</w:t>
      </w:r>
      <w:r>
        <w:rPr>
          <w:sz w:val="18"/>
        </w:rPr>
        <w:t xml:space="preserve"> </w:t>
      </w:r>
      <w:r>
        <w:rPr>
          <w:sz w:val="18"/>
          <w:lang w:val="en-US"/>
        </w:rPr>
        <w:t xml:space="preserve">Commission regulation 39.12(b)(7), read with the terms of the Relief, provides that SGX-DC </w:t>
      </w:r>
      <w:r>
        <w:rPr>
          <w:rFonts w:cs="Arial"/>
          <w:sz w:val="18"/>
        </w:rPr>
        <w:t>shall accept or reject for clearing such offsetting transactions as quickly after submission as would be technologically practicable if fully automated systems were used.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FD1" w:rsidRDefault="009C2FD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74E3" w:rsidRDefault="00E474E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FD1" w:rsidRDefault="009C2FD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3026C"/>
    <w:multiLevelType w:val="hybridMultilevel"/>
    <w:tmpl w:val="3D0677C6"/>
    <w:lvl w:ilvl="0" w:tplc="0F08F1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5A2F74"/>
    <w:multiLevelType w:val="hybridMultilevel"/>
    <w:tmpl w:val="23C6F004"/>
    <w:lvl w:ilvl="0" w:tplc="4E5A5A6A">
      <w:start w:val="1"/>
      <w:numFmt w:val="lowerLetter"/>
      <w:lvlText w:val="%1."/>
      <w:lvlJc w:val="left"/>
      <w:pPr>
        <w:ind w:left="108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AC07351"/>
    <w:multiLevelType w:val="multilevel"/>
    <w:tmpl w:val="75245530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CA1777B"/>
    <w:multiLevelType w:val="hybridMultilevel"/>
    <w:tmpl w:val="DE40010C"/>
    <w:lvl w:ilvl="0" w:tplc="A6D2797E">
      <w:start w:val="1"/>
      <w:numFmt w:val="lowerLetter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49199F"/>
    <w:multiLevelType w:val="hybridMultilevel"/>
    <w:tmpl w:val="054E0104"/>
    <w:lvl w:ilvl="0" w:tplc="138EA45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A4F4E11"/>
    <w:multiLevelType w:val="hybridMultilevel"/>
    <w:tmpl w:val="ADB6A23E"/>
    <w:lvl w:ilvl="0" w:tplc="9DEC15C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17D37B8"/>
    <w:multiLevelType w:val="hybridMultilevel"/>
    <w:tmpl w:val="77707106"/>
    <w:lvl w:ilvl="0" w:tplc="339E82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51A692B"/>
    <w:multiLevelType w:val="hybridMultilevel"/>
    <w:tmpl w:val="536011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474C74"/>
    <w:multiLevelType w:val="multilevel"/>
    <w:tmpl w:val="9ECA1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  <w:sz w:val="22"/>
        <w:szCs w:val="22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9">
    <w:nsid w:val="60364858"/>
    <w:multiLevelType w:val="hybridMultilevel"/>
    <w:tmpl w:val="1708EB64"/>
    <w:lvl w:ilvl="0" w:tplc="AC885248">
      <w:start w:val="1"/>
      <w:numFmt w:val="lowerLetter"/>
      <w:lvlText w:val="%1."/>
      <w:lvlJc w:val="left"/>
      <w:pPr>
        <w:ind w:left="1080" w:hanging="360"/>
      </w:pPr>
      <w:rPr>
        <w:rFonts w:cs="Arial" w:hint="default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6"/>
  </w:num>
  <w:num w:numId="5">
    <w:abstractNumId w:val="9"/>
  </w:num>
  <w:num w:numId="6">
    <w:abstractNumId w:val="5"/>
  </w:num>
  <w:num w:numId="7">
    <w:abstractNumId w:val="3"/>
  </w:num>
  <w:num w:numId="8">
    <w:abstractNumId w:val="0"/>
  </w:num>
  <w:num w:numId="9">
    <w:abstractNumId w:val="4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removePersonalInformation/>
  <w:proofState w:spelling="clean" w:grammar="clean"/>
  <w:doNotTrackMoves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4D4A"/>
    <w:rsid w:val="00002112"/>
    <w:rsid w:val="0001064E"/>
    <w:rsid w:val="00014EAD"/>
    <w:rsid w:val="00014F4A"/>
    <w:rsid w:val="00020DBE"/>
    <w:rsid w:val="00021E40"/>
    <w:rsid w:val="00022578"/>
    <w:rsid w:val="00024A08"/>
    <w:rsid w:val="000345C0"/>
    <w:rsid w:val="00040529"/>
    <w:rsid w:val="0004715A"/>
    <w:rsid w:val="00047878"/>
    <w:rsid w:val="00060151"/>
    <w:rsid w:val="00085884"/>
    <w:rsid w:val="00093E05"/>
    <w:rsid w:val="000973BC"/>
    <w:rsid w:val="000A0932"/>
    <w:rsid w:val="000A1702"/>
    <w:rsid w:val="000A504E"/>
    <w:rsid w:val="000A6E56"/>
    <w:rsid w:val="000B1549"/>
    <w:rsid w:val="000E2DB3"/>
    <w:rsid w:val="001077B3"/>
    <w:rsid w:val="0011087B"/>
    <w:rsid w:val="001126BF"/>
    <w:rsid w:val="00124410"/>
    <w:rsid w:val="001252A0"/>
    <w:rsid w:val="00130F25"/>
    <w:rsid w:val="00137B4F"/>
    <w:rsid w:val="00160D9C"/>
    <w:rsid w:val="00163AF4"/>
    <w:rsid w:val="00170010"/>
    <w:rsid w:val="0017622D"/>
    <w:rsid w:val="0019548F"/>
    <w:rsid w:val="001B359B"/>
    <w:rsid w:val="001B669F"/>
    <w:rsid w:val="001C1551"/>
    <w:rsid w:val="001C458C"/>
    <w:rsid w:val="001E2225"/>
    <w:rsid w:val="00203545"/>
    <w:rsid w:val="00207263"/>
    <w:rsid w:val="002416C2"/>
    <w:rsid w:val="002471C1"/>
    <w:rsid w:val="00252518"/>
    <w:rsid w:val="002659BB"/>
    <w:rsid w:val="002B3B09"/>
    <w:rsid w:val="002D36D9"/>
    <w:rsid w:val="002D6BC2"/>
    <w:rsid w:val="00326E50"/>
    <w:rsid w:val="00337E08"/>
    <w:rsid w:val="00340102"/>
    <w:rsid w:val="0034286D"/>
    <w:rsid w:val="003448E9"/>
    <w:rsid w:val="00354BCE"/>
    <w:rsid w:val="00356F4F"/>
    <w:rsid w:val="00381A79"/>
    <w:rsid w:val="00383CAF"/>
    <w:rsid w:val="00390E5D"/>
    <w:rsid w:val="003A190B"/>
    <w:rsid w:val="003A4C7A"/>
    <w:rsid w:val="003A7CFA"/>
    <w:rsid w:val="003D518F"/>
    <w:rsid w:val="003D6401"/>
    <w:rsid w:val="00416B56"/>
    <w:rsid w:val="00425D3A"/>
    <w:rsid w:val="00437ACD"/>
    <w:rsid w:val="004747A5"/>
    <w:rsid w:val="0049051F"/>
    <w:rsid w:val="00493B76"/>
    <w:rsid w:val="004957AE"/>
    <w:rsid w:val="004A5210"/>
    <w:rsid w:val="004C57E8"/>
    <w:rsid w:val="004C69B3"/>
    <w:rsid w:val="004D44C9"/>
    <w:rsid w:val="00523C55"/>
    <w:rsid w:val="005439F6"/>
    <w:rsid w:val="00544D4A"/>
    <w:rsid w:val="00557481"/>
    <w:rsid w:val="00565160"/>
    <w:rsid w:val="00566345"/>
    <w:rsid w:val="0058742A"/>
    <w:rsid w:val="005A16B3"/>
    <w:rsid w:val="005A30AA"/>
    <w:rsid w:val="005A327D"/>
    <w:rsid w:val="005C63EA"/>
    <w:rsid w:val="005C7B9D"/>
    <w:rsid w:val="005D36E5"/>
    <w:rsid w:val="005D42BD"/>
    <w:rsid w:val="005E4750"/>
    <w:rsid w:val="005F36DB"/>
    <w:rsid w:val="00601266"/>
    <w:rsid w:val="0060143B"/>
    <w:rsid w:val="0061413A"/>
    <w:rsid w:val="006163B7"/>
    <w:rsid w:val="00622464"/>
    <w:rsid w:val="006302C9"/>
    <w:rsid w:val="00631AFA"/>
    <w:rsid w:val="006454E4"/>
    <w:rsid w:val="00650F7E"/>
    <w:rsid w:val="006571CC"/>
    <w:rsid w:val="00661E1F"/>
    <w:rsid w:val="00670EB3"/>
    <w:rsid w:val="00677CA4"/>
    <w:rsid w:val="0069228B"/>
    <w:rsid w:val="006B6E08"/>
    <w:rsid w:val="006B78E6"/>
    <w:rsid w:val="006B7996"/>
    <w:rsid w:val="006E05BB"/>
    <w:rsid w:val="006F6EA1"/>
    <w:rsid w:val="0071089D"/>
    <w:rsid w:val="00713ADA"/>
    <w:rsid w:val="00714DE8"/>
    <w:rsid w:val="0072055C"/>
    <w:rsid w:val="007357C3"/>
    <w:rsid w:val="00752EA1"/>
    <w:rsid w:val="00754763"/>
    <w:rsid w:val="00757E24"/>
    <w:rsid w:val="00772825"/>
    <w:rsid w:val="0077783B"/>
    <w:rsid w:val="007A0FA6"/>
    <w:rsid w:val="007A17C9"/>
    <w:rsid w:val="007A3D77"/>
    <w:rsid w:val="007A4101"/>
    <w:rsid w:val="00815B8D"/>
    <w:rsid w:val="008521C1"/>
    <w:rsid w:val="00860CA9"/>
    <w:rsid w:val="00866AE1"/>
    <w:rsid w:val="008722B1"/>
    <w:rsid w:val="00880FAC"/>
    <w:rsid w:val="0088320F"/>
    <w:rsid w:val="00893EE8"/>
    <w:rsid w:val="00896889"/>
    <w:rsid w:val="008A3C2D"/>
    <w:rsid w:val="008C297A"/>
    <w:rsid w:val="008D3EC8"/>
    <w:rsid w:val="008D6D72"/>
    <w:rsid w:val="008E6EC4"/>
    <w:rsid w:val="009038E4"/>
    <w:rsid w:val="009100F0"/>
    <w:rsid w:val="00916122"/>
    <w:rsid w:val="00917181"/>
    <w:rsid w:val="0092706C"/>
    <w:rsid w:val="0093362C"/>
    <w:rsid w:val="00944482"/>
    <w:rsid w:val="00944F26"/>
    <w:rsid w:val="00947BC0"/>
    <w:rsid w:val="00963370"/>
    <w:rsid w:val="00971444"/>
    <w:rsid w:val="009968A1"/>
    <w:rsid w:val="009C04A4"/>
    <w:rsid w:val="009C2FD1"/>
    <w:rsid w:val="009C4A73"/>
    <w:rsid w:val="009C6901"/>
    <w:rsid w:val="009F212E"/>
    <w:rsid w:val="009F332F"/>
    <w:rsid w:val="009F4881"/>
    <w:rsid w:val="00A07660"/>
    <w:rsid w:val="00A36ADE"/>
    <w:rsid w:val="00A42B1F"/>
    <w:rsid w:val="00A6090E"/>
    <w:rsid w:val="00A62266"/>
    <w:rsid w:val="00A70DF4"/>
    <w:rsid w:val="00A73EA5"/>
    <w:rsid w:val="00A74E9F"/>
    <w:rsid w:val="00A818CC"/>
    <w:rsid w:val="00A82AB0"/>
    <w:rsid w:val="00AA4E9B"/>
    <w:rsid w:val="00AA5810"/>
    <w:rsid w:val="00AA74BC"/>
    <w:rsid w:val="00AB3369"/>
    <w:rsid w:val="00AC05F2"/>
    <w:rsid w:val="00AC2F64"/>
    <w:rsid w:val="00AD43F0"/>
    <w:rsid w:val="00AD6AD4"/>
    <w:rsid w:val="00B00745"/>
    <w:rsid w:val="00B178F9"/>
    <w:rsid w:val="00B24ED9"/>
    <w:rsid w:val="00B27D2C"/>
    <w:rsid w:val="00B53466"/>
    <w:rsid w:val="00B909E7"/>
    <w:rsid w:val="00BA123A"/>
    <w:rsid w:val="00BC49BB"/>
    <w:rsid w:val="00BE4DBF"/>
    <w:rsid w:val="00BF723F"/>
    <w:rsid w:val="00C01B2D"/>
    <w:rsid w:val="00C220BE"/>
    <w:rsid w:val="00C23BC4"/>
    <w:rsid w:val="00C3185B"/>
    <w:rsid w:val="00C40EAC"/>
    <w:rsid w:val="00C5117B"/>
    <w:rsid w:val="00C56C92"/>
    <w:rsid w:val="00CA5569"/>
    <w:rsid w:val="00CD1E53"/>
    <w:rsid w:val="00CF5DA5"/>
    <w:rsid w:val="00D0488A"/>
    <w:rsid w:val="00D0681A"/>
    <w:rsid w:val="00D0721F"/>
    <w:rsid w:val="00D2527E"/>
    <w:rsid w:val="00D41393"/>
    <w:rsid w:val="00D546E7"/>
    <w:rsid w:val="00D550B3"/>
    <w:rsid w:val="00D7687A"/>
    <w:rsid w:val="00D977F2"/>
    <w:rsid w:val="00DA5D16"/>
    <w:rsid w:val="00DA72C1"/>
    <w:rsid w:val="00DB24D2"/>
    <w:rsid w:val="00DB3E1E"/>
    <w:rsid w:val="00DD0188"/>
    <w:rsid w:val="00DD496B"/>
    <w:rsid w:val="00DE7923"/>
    <w:rsid w:val="00E20BA9"/>
    <w:rsid w:val="00E22ECD"/>
    <w:rsid w:val="00E45B88"/>
    <w:rsid w:val="00E474E3"/>
    <w:rsid w:val="00E81398"/>
    <w:rsid w:val="00E90BA9"/>
    <w:rsid w:val="00E93CE8"/>
    <w:rsid w:val="00EC3BDA"/>
    <w:rsid w:val="00ED25B0"/>
    <w:rsid w:val="00ED3032"/>
    <w:rsid w:val="00ED3738"/>
    <w:rsid w:val="00EF3F9D"/>
    <w:rsid w:val="00F17664"/>
    <w:rsid w:val="00F256D1"/>
    <w:rsid w:val="00F33D4B"/>
    <w:rsid w:val="00F3560D"/>
    <w:rsid w:val="00F3776C"/>
    <w:rsid w:val="00F46060"/>
    <w:rsid w:val="00F47B3C"/>
    <w:rsid w:val="00F50038"/>
    <w:rsid w:val="00F50750"/>
    <w:rsid w:val="00F65859"/>
    <w:rsid w:val="00F71872"/>
    <w:rsid w:val="00F843FD"/>
    <w:rsid w:val="00FB4F0E"/>
    <w:rsid w:val="00FB56E0"/>
    <w:rsid w:val="00FC58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SimHei" w:hAnsi="Arial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AB0"/>
    <w:pPr>
      <w:spacing w:after="200" w:line="276" w:lineRule="auto"/>
    </w:pPr>
    <w:rPr>
      <w:sz w:val="22"/>
      <w:szCs w:val="22"/>
      <w:lang w:val="en-SG"/>
    </w:rPr>
  </w:style>
  <w:style w:type="paragraph" w:styleId="Heading2">
    <w:name w:val="heading 2"/>
    <w:basedOn w:val="Normal"/>
    <w:link w:val="Heading2Char"/>
    <w:uiPriority w:val="9"/>
    <w:qFormat/>
    <w:rsid w:val="00C56C9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4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44D4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A4C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4C7A"/>
  </w:style>
  <w:style w:type="paragraph" w:styleId="Footer">
    <w:name w:val="footer"/>
    <w:basedOn w:val="Normal"/>
    <w:link w:val="FooterChar"/>
    <w:uiPriority w:val="99"/>
    <w:unhideWhenUsed/>
    <w:rsid w:val="003A4C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4C7A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0A1702"/>
  </w:style>
  <w:style w:type="character" w:customStyle="1" w:styleId="DateChar">
    <w:name w:val="Date Char"/>
    <w:basedOn w:val="DefaultParagraphFont"/>
    <w:link w:val="Date"/>
    <w:uiPriority w:val="99"/>
    <w:semiHidden/>
    <w:rsid w:val="000A1702"/>
  </w:style>
  <w:style w:type="character" w:styleId="Hyperlink">
    <w:name w:val="Hyperlink"/>
    <w:uiPriority w:val="99"/>
    <w:unhideWhenUsed/>
    <w:rsid w:val="00E22ECD"/>
    <w:rPr>
      <w:color w:val="791E75"/>
      <w:u w:val="single"/>
    </w:rPr>
  </w:style>
  <w:style w:type="paragraph" w:styleId="ListParagraph">
    <w:name w:val="List Paragraph"/>
    <w:basedOn w:val="Normal"/>
    <w:uiPriority w:val="34"/>
    <w:qFormat/>
    <w:rsid w:val="00354BCE"/>
    <w:pPr>
      <w:ind w:left="720"/>
    </w:pPr>
  </w:style>
  <w:style w:type="paragraph" w:customStyle="1" w:styleId="para-123">
    <w:name w:val="para-123"/>
    <w:basedOn w:val="Normal"/>
    <w:rsid w:val="00E20BA9"/>
    <w:pPr>
      <w:tabs>
        <w:tab w:val="left" w:pos="1304"/>
      </w:tabs>
      <w:autoSpaceDE w:val="0"/>
      <w:autoSpaceDN w:val="0"/>
      <w:adjustRightInd w:val="0"/>
      <w:spacing w:after="170" w:line="250" w:lineRule="atLeast"/>
      <w:ind w:left="1304" w:hanging="454"/>
      <w:jc w:val="both"/>
    </w:pPr>
    <w:rPr>
      <w:rFonts w:ascii="MetaBook-Roman" w:eastAsia="Times New Roman" w:hAnsi="MetaBook-Roman"/>
      <w:sz w:val="21"/>
      <w:szCs w:val="21"/>
      <w:lang w:val="en-US" w:eastAsia="en-US"/>
    </w:rPr>
  </w:style>
  <w:style w:type="character" w:customStyle="1" w:styleId="Heading2Char">
    <w:name w:val="Heading 2 Char"/>
    <w:link w:val="Heading2"/>
    <w:uiPriority w:val="9"/>
    <w:rsid w:val="00C56C92"/>
    <w:rPr>
      <w:rFonts w:ascii="Times New Roman" w:eastAsia="Times New Roman" w:hAnsi="Times New Roman"/>
      <w:b/>
      <w:bCs/>
      <w:sz w:val="36"/>
      <w:szCs w:val="36"/>
    </w:rPr>
  </w:style>
  <w:style w:type="character" w:styleId="Strong">
    <w:name w:val="Strong"/>
    <w:uiPriority w:val="22"/>
    <w:qFormat/>
    <w:rsid w:val="00C56C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56C9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me">
    <w:name w:val="me"/>
    <w:rsid w:val="00C56C92"/>
  </w:style>
  <w:style w:type="character" w:styleId="Emphasis">
    <w:name w:val="Emphasis"/>
    <w:uiPriority w:val="20"/>
    <w:qFormat/>
    <w:rsid w:val="00C56C92"/>
    <w:rPr>
      <w:i/>
      <w:iCs/>
    </w:rPr>
  </w:style>
  <w:style w:type="paragraph" w:styleId="FootnoteText">
    <w:name w:val="footnote text"/>
    <w:basedOn w:val="Normal"/>
    <w:link w:val="FootnoteTextChar"/>
    <w:uiPriority w:val="99"/>
    <w:unhideWhenUsed/>
    <w:rsid w:val="00AC05F2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rsid w:val="00AC05F2"/>
    <w:rPr>
      <w:lang w:val="en-SG" w:eastAsia="zh-CN"/>
    </w:rPr>
  </w:style>
  <w:style w:type="character" w:styleId="FootnoteReference">
    <w:name w:val="footnote reference"/>
    <w:uiPriority w:val="99"/>
    <w:semiHidden/>
    <w:unhideWhenUsed/>
    <w:rsid w:val="00AC05F2"/>
    <w:rPr>
      <w:vertAlign w:val="superscript"/>
    </w:rPr>
  </w:style>
  <w:style w:type="character" w:customStyle="1" w:styleId="DeltaViewInsertion">
    <w:name w:val="DeltaView Insertion"/>
    <w:uiPriority w:val="99"/>
    <w:rsid w:val="00B00745"/>
    <w:rPr>
      <w:color w:val="0000FF"/>
      <w:u w:val="double"/>
    </w:rPr>
  </w:style>
  <w:style w:type="character" w:customStyle="1" w:styleId="DeltaViewDeletion">
    <w:name w:val="DeltaView Deletion"/>
    <w:uiPriority w:val="99"/>
    <w:rsid w:val="00B00745"/>
    <w:rPr>
      <w:strike/>
      <w:color w:val="FF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SimHei" w:hAnsi="Arial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2AB0"/>
    <w:pPr>
      <w:spacing w:after="200" w:line="276" w:lineRule="auto"/>
    </w:pPr>
    <w:rPr>
      <w:sz w:val="22"/>
      <w:szCs w:val="22"/>
      <w:lang w:val="en-SG"/>
    </w:rPr>
  </w:style>
  <w:style w:type="paragraph" w:styleId="Heading2">
    <w:name w:val="heading 2"/>
    <w:basedOn w:val="Normal"/>
    <w:link w:val="Heading2Char"/>
    <w:uiPriority w:val="9"/>
    <w:qFormat/>
    <w:rsid w:val="00C56C9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4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44D4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A4C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4C7A"/>
  </w:style>
  <w:style w:type="paragraph" w:styleId="Footer">
    <w:name w:val="footer"/>
    <w:basedOn w:val="Normal"/>
    <w:link w:val="FooterChar"/>
    <w:uiPriority w:val="99"/>
    <w:unhideWhenUsed/>
    <w:rsid w:val="003A4C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4C7A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0A1702"/>
  </w:style>
  <w:style w:type="character" w:customStyle="1" w:styleId="DateChar">
    <w:name w:val="Date Char"/>
    <w:basedOn w:val="DefaultParagraphFont"/>
    <w:link w:val="Date"/>
    <w:uiPriority w:val="99"/>
    <w:semiHidden/>
    <w:rsid w:val="000A1702"/>
  </w:style>
  <w:style w:type="character" w:styleId="Hyperlink">
    <w:name w:val="Hyperlink"/>
    <w:uiPriority w:val="99"/>
    <w:unhideWhenUsed/>
    <w:rsid w:val="00E22ECD"/>
    <w:rPr>
      <w:color w:val="791E75"/>
      <w:u w:val="single"/>
    </w:rPr>
  </w:style>
  <w:style w:type="paragraph" w:styleId="ListParagraph">
    <w:name w:val="List Paragraph"/>
    <w:basedOn w:val="Normal"/>
    <w:uiPriority w:val="34"/>
    <w:qFormat/>
    <w:rsid w:val="00354BCE"/>
    <w:pPr>
      <w:ind w:left="720"/>
    </w:pPr>
  </w:style>
  <w:style w:type="paragraph" w:customStyle="1" w:styleId="para-123">
    <w:name w:val="para-123"/>
    <w:basedOn w:val="Normal"/>
    <w:rsid w:val="00E20BA9"/>
    <w:pPr>
      <w:tabs>
        <w:tab w:val="left" w:pos="1304"/>
      </w:tabs>
      <w:autoSpaceDE w:val="0"/>
      <w:autoSpaceDN w:val="0"/>
      <w:adjustRightInd w:val="0"/>
      <w:spacing w:after="170" w:line="250" w:lineRule="atLeast"/>
      <w:ind w:left="1304" w:hanging="454"/>
      <w:jc w:val="both"/>
    </w:pPr>
    <w:rPr>
      <w:rFonts w:ascii="MetaBook-Roman" w:eastAsia="Times New Roman" w:hAnsi="MetaBook-Roman"/>
      <w:sz w:val="21"/>
      <w:szCs w:val="21"/>
      <w:lang w:val="en-US" w:eastAsia="en-US"/>
    </w:rPr>
  </w:style>
  <w:style w:type="character" w:customStyle="1" w:styleId="Heading2Char">
    <w:name w:val="Heading 2 Char"/>
    <w:link w:val="Heading2"/>
    <w:uiPriority w:val="9"/>
    <w:rsid w:val="00C56C92"/>
    <w:rPr>
      <w:rFonts w:ascii="Times New Roman" w:eastAsia="Times New Roman" w:hAnsi="Times New Roman"/>
      <w:b/>
      <w:bCs/>
      <w:sz w:val="36"/>
      <w:szCs w:val="36"/>
    </w:rPr>
  </w:style>
  <w:style w:type="character" w:styleId="Strong">
    <w:name w:val="Strong"/>
    <w:uiPriority w:val="22"/>
    <w:qFormat/>
    <w:rsid w:val="00C56C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56C9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me">
    <w:name w:val="me"/>
    <w:rsid w:val="00C56C92"/>
  </w:style>
  <w:style w:type="character" w:styleId="Emphasis">
    <w:name w:val="Emphasis"/>
    <w:uiPriority w:val="20"/>
    <w:qFormat/>
    <w:rsid w:val="00C56C92"/>
    <w:rPr>
      <w:i/>
      <w:iCs/>
    </w:rPr>
  </w:style>
  <w:style w:type="paragraph" w:styleId="FootnoteText">
    <w:name w:val="footnote text"/>
    <w:basedOn w:val="Normal"/>
    <w:link w:val="FootnoteTextChar"/>
    <w:uiPriority w:val="99"/>
    <w:unhideWhenUsed/>
    <w:rsid w:val="00AC05F2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rsid w:val="00AC05F2"/>
    <w:rPr>
      <w:lang w:val="en-SG" w:eastAsia="zh-CN"/>
    </w:rPr>
  </w:style>
  <w:style w:type="character" w:styleId="FootnoteReference">
    <w:name w:val="footnote reference"/>
    <w:uiPriority w:val="99"/>
    <w:semiHidden/>
    <w:unhideWhenUsed/>
    <w:rsid w:val="00AC05F2"/>
    <w:rPr>
      <w:vertAlign w:val="superscript"/>
    </w:rPr>
  </w:style>
  <w:style w:type="character" w:customStyle="1" w:styleId="DeltaViewInsertion">
    <w:name w:val="DeltaView Insertion"/>
    <w:uiPriority w:val="99"/>
    <w:rsid w:val="00B00745"/>
    <w:rPr>
      <w:color w:val="0000FF"/>
      <w:u w:val="double"/>
    </w:rPr>
  </w:style>
  <w:style w:type="character" w:customStyle="1" w:styleId="DeltaViewDeletion">
    <w:name w:val="DeltaView Deletion"/>
    <w:uiPriority w:val="99"/>
    <w:rsid w:val="00B00745"/>
    <w:rPr>
      <w:strike/>
      <w:color w:val="FF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60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563116">
          <w:marLeft w:val="3900"/>
          <w:marRight w:val="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2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02707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16906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061371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046378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824889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115951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005912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146415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829218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042712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772603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59264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897723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678940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779684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microsoft.com/office/2007/relationships/stylesWithEffects" Target="stylesWithEffect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membersup@sgx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295410-0B43-4067-8A54-671BE3FAE67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59E5E83-B7AE-47D0-99B8-8D702ECE6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777</Words>
  <Characters>4429</Characters>
  <Application>Microsoft Office Word</Application>
  <DocSecurity>4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5196</CharactersWithSpaces>
  <SharedDoc>false</SharedDoc>
  <HyperlinkBase/>
  <HLinks>
    <vt:vector size="6" baseType="variant">
      <vt:variant>
        <vt:i4>65580</vt:i4>
      </vt:variant>
      <vt:variant>
        <vt:i4>0</vt:i4>
      </vt:variant>
      <vt:variant>
        <vt:i4>0</vt:i4>
      </vt:variant>
      <vt:variant>
        <vt:i4>5</vt:i4>
      </vt:variant>
      <vt:variant>
        <vt:lpwstr>mailto:membersup@sgx.com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2014-04-17T12:58:00Z</dcterms:created>
  <dcterms:modified xsi:type="dcterms:W3CDTF">2014-04-17T12:58:00Z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S_TRACKING_ID">
    <vt:lpwstr>380a5fc0-dd2f-4042-80df-c2944882fbda</vt:lpwstr>
  </property>
  <property fmtid="{D5CDD505-2E9C-101B-9397-08002B2CF9AE}" pid="3" name="MAIL_MSG_ID1">
    <vt:lpwstr>GEAAO+/T9t20xwm2LXYR5DzpVKm5GdZnTDeSTp4SEhv1dIkM3vMx96YtzuUbMCmSZhsVu7xDcsxa64lR
Kfj3qnZAN6KlsBlQKv2/XNbi64UVTx0FtCRP3ygZ8Pgorjl3WAZgyz7sd91ALstMLUyvV4XP27hd
CT+0Vjdt9H5niHgllHykEsIj8VfT9wHMVvLeo8luMmwtI9Xrlu6p/YyJPPub3kOry9zEm5CtFCy3
g4JKzhfGSGbIo/sAl</vt:lpwstr>
  </property>
  <property fmtid="{D5CDD505-2E9C-101B-9397-08002B2CF9AE}" pid="4" name="MAIL_MSG_ID2">
    <vt:lpwstr>+Nhrc9uGeY0</vt:lpwstr>
  </property>
  <property fmtid="{D5CDD505-2E9C-101B-9397-08002B2CF9AE}" pid="5" name="RESPONSE_SENDER_NAME">
    <vt:lpwstr>gAAAdya76B99d4hLGUR1rQ+8TxTv0GGEPdix</vt:lpwstr>
  </property>
  <property fmtid="{D5CDD505-2E9C-101B-9397-08002B2CF9AE}" pid="6" name="EMAIL_OWNER_ADDRESS">
    <vt:lpwstr>sAAAGYoQX4c3X/IpSTX3cTEXmBU67bf2SJvg/4h+143xMY4=</vt:lpwstr>
  </property>
</Properties>
</file>