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DED" w:rsidRDefault="00AF4DED" w:rsidP="00EB2E74">
      <w:pPr>
        <w:rPr>
          <w:rFonts w:ascii="Arial" w:hAnsi="Arial" w:cs="Arial"/>
          <w:b/>
          <w:u w:val="single"/>
        </w:rPr>
      </w:pPr>
    </w:p>
    <w:p w:rsidR="00AF4DED" w:rsidRDefault="00AF4DED" w:rsidP="00EB2E74">
      <w:pPr>
        <w:jc w:val="right"/>
        <w:rPr>
          <w:rFonts w:ascii="Arial" w:hAnsi="Arial" w:cs="Arial"/>
          <w:b/>
          <w:u w:val="single"/>
        </w:rPr>
      </w:pPr>
    </w:p>
    <w:p w:rsidR="00AF4DED" w:rsidRPr="00C34E4A" w:rsidRDefault="00AF4DED" w:rsidP="00EB2E74">
      <w:pPr>
        <w:jc w:val="center"/>
        <w:rPr>
          <w:rFonts w:ascii="Arial" w:hAnsi="Arial" w:cs="Arial"/>
          <w:b/>
          <w:u w:val="single"/>
        </w:rPr>
      </w:pPr>
      <w:r w:rsidRPr="00C34E4A">
        <w:rPr>
          <w:rFonts w:ascii="Arial" w:hAnsi="Arial" w:cs="Arial"/>
          <w:b/>
          <w:u w:val="single"/>
        </w:rPr>
        <w:t>ADDITION TO APPENDIX 1 TO THE CLEARING RULES</w:t>
      </w:r>
      <w:r>
        <w:rPr>
          <w:rFonts w:ascii="Arial" w:hAnsi="Arial" w:cs="Arial"/>
          <w:b/>
          <w:u w:val="single"/>
        </w:rPr>
        <w:t xml:space="preserve"> ON THE FINAL SETTLEMENT</w:t>
      </w:r>
      <w:r w:rsidRPr="00C34E4A">
        <w:rPr>
          <w:rFonts w:ascii="Arial" w:hAnsi="Arial" w:cs="Arial"/>
          <w:b/>
          <w:u w:val="single"/>
        </w:rPr>
        <w:t>FOR IRON ORE OPTION, PANAMAX OPTION, SUPRAMAX OPTION, CAPESIZE OPTION, AND HANDYSIZE OPTION</w:t>
      </w:r>
    </w:p>
    <w:p w:rsidR="00AF4DED" w:rsidRDefault="00AF4DED" w:rsidP="00EB2E74">
      <w:pPr>
        <w:jc w:val="center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70"/>
        <w:gridCol w:w="3388"/>
        <w:gridCol w:w="2547"/>
        <w:gridCol w:w="1980"/>
        <w:gridCol w:w="1991"/>
        <w:gridCol w:w="1994"/>
      </w:tblGrid>
      <w:tr w:rsidR="00AF4DED" w:rsidRPr="00850845" w:rsidTr="00850845">
        <w:tc>
          <w:tcPr>
            <w:tcW w:w="2270" w:type="dxa"/>
            <w:shd w:val="clear" w:color="auto" w:fill="A6A6A6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</w:rPr>
              <w:t>Product</w:t>
            </w:r>
          </w:p>
        </w:tc>
        <w:tc>
          <w:tcPr>
            <w:tcW w:w="3388" w:type="dxa"/>
            <w:shd w:val="clear" w:color="auto" w:fill="A6A6A6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  <w:bCs/>
              </w:rPr>
              <w:t>Iron Ore Option</w:t>
            </w:r>
          </w:p>
        </w:tc>
        <w:tc>
          <w:tcPr>
            <w:tcW w:w="2547" w:type="dxa"/>
            <w:shd w:val="clear" w:color="auto" w:fill="A6A6A6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</w:rPr>
              <w:t>Capesize Option</w:t>
            </w:r>
          </w:p>
        </w:tc>
        <w:tc>
          <w:tcPr>
            <w:tcW w:w="1980" w:type="dxa"/>
            <w:shd w:val="clear" w:color="auto" w:fill="A6A6A6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</w:rPr>
              <w:t>Panamax Option</w:t>
            </w:r>
          </w:p>
        </w:tc>
        <w:tc>
          <w:tcPr>
            <w:tcW w:w="1991" w:type="dxa"/>
            <w:shd w:val="clear" w:color="auto" w:fill="A6A6A6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</w:rPr>
              <w:t>Supramax Option</w:t>
            </w:r>
          </w:p>
        </w:tc>
        <w:tc>
          <w:tcPr>
            <w:tcW w:w="1994" w:type="dxa"/>
            <w:shd w:val="clear" w:color="auto" w:fill="A6A6A6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</w:rPr>
              <w:t>Handysize Option</w:t>
            </w:r>
          </w:p>
        </w:tc>
      </w:tr>
      <w:tr w:rsidR="00AF4DED" w:rsidRPr="00850845" w:rsidTr="00850845">
        <w:tc>
          <w:tcPr>
            <w:tcW w:w="2270" w:type="dxa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</w:rPr>
              <w:t>UnderlyingContract</w:t>
            </w:r>
          </w:p>
        </w:tc>
        <w:tc>
          <w:tcPr>
            <w:tcW w:w="3388" w:type="dxa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>Iron Ore Swap</w:t>
            </w:r>
          </w:p>
        </w:tc>
        <w:tc>
          <w:tcPr>
            <w:tcW w:w="2547" w:type="dxa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>Capesize Time Charter Basket</w:t>
            </w:r>
          </w:p>
        </w:tc>
        <w:tc>
          <w:tcPr>
            <w:tcW w:w="1980" w:type="dxa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>Panamax Time Charter Basket</w:t>
            </w:r>
          </w:p>
        </w:tc>
        <w:tc>
          <w:tcPr>
            <w:tcW w:w="1991" w:type="dxa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>Supramax Time Charter Basket</w:t>
            </w:r>
          </w:p>
        </w:tc>
        <w:tc>
          <w:tcPr>
            <w:tcW w:w="1994" w:type="dxa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>Handysize Time Charter Basket Average 6 Routes</w:t>
            </w:r>
          </w:p>
        </w:tc>
      </w:tr>
      <w:tr w:rsidR="00AF4DED" w:rsidRPr="00850845" w:rsidTr="00850845">
        <w:tc>
          <w:tcPr>
            <w:tcW w:w="2270" w:type="dxa"/>
          </w:tcPr>
          <w:p w:rsidR="00AF4DED" w:rsidRPr="00850845" w:rsidRDefault="00AF4DED" w:rsidP="0085084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  <w:b/>
              </w:rPr>
              <w:t>Option Exercise and Settlement</w:t>
            </w:r>
          </w:p>
        </w:tc>
        <w:tc>
          <w:tcPr>
            <w:tcW w:w="3388" w:type="dxa"/>
          </w:tcPr>
          <w:p w:rsidR="00AF4DED" w:rsidRPr="00850845" w:rsidRDefault="00AF4DED" w:rsidP="00850845">
            <w:pPr>
              <w:spacing w:before="60" w:after="60" w:line="240" w:lineRule="atLeast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  <w:u w:val="single"/>
              </w:rPr>
              <w:t>European Style</w:t>
            </w:r>
            <w:r w:rsidRPr="00850845">
              <w:rPr>
                <w:rFonts w:ascii="Arial" w:hAnsi="Arial" w:cs="Arial"/>
              </w:rPr>
              <w:t xml:space="preserve">: </w:t>
            </w:r>
          </w:p>
          <w:p w:rsidR="00AF4DED" w:rsidRPr="00850845" w:rsidRDefault="00AF4DED" w:rsidP="00850845">
            <w:pPr>
              <w:spacing w:after="100" w:line="240" w:lineRule="auto"/>
              <w:jc w:val="both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>An option will be exercised automatically at expiry only if it is in-the-money.</w:t>
            </w:r>
          </w:p>
          <w:p w:rsidR="00AF4DED" w:rsidRPr="00850845" w:rsidRDefault="00AF4DED" w:rsidP="00850845">
            <w:pPr>
              <w:spacing w:before="60" w:after="60" w:line="240" w:lineRule="atLeast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  <w:u w:val="single"/>
              </w:rPr>
              <w:t>Cash Settled</w:t>
            </w:r>
            <w:r w:rsidRPr="00850845">
              <w:rPr>
                <w:rFonts w:ascii="Arial" w:hAnsi="Arial" w:cs="Arial"/>
              </w:rPr>
              <w:t xml:space="preserve">: </w:t>
            </w:r>
          </w:p>
          <w:p w:rsidR="00AF4DED" w:rsidRPr="00850845" w:rsidRDefault="00AF4DED" w:rsidP="00850845">
            <w:pPr>
              <w:spacing w:before="60" w:after="60" w:line="240" w:lineRule="atLeast"/>
              <w:jc w:val="both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 xml:space="preserve">Upon exercise, a </w:t>
            </w:r>
            <w:r w:rsidRPr="00850845">
              <w:rPr>
                <w:rFonts w:ascii="Arial" w:hAnsi="Arial" w:cs="Arial"/>
                <w:b/>
              </w:rPr>
              <w:t>call</w:t>
            </w:r>
            <w:r w:rsidRPr="00850845">
              <w:rPr>
                <w:rFonts w:ascii="Arial" w:hAnsi="Arial" w:cs="Arial"/>
              </w:rPr>
              <w:t xml:space="preserve"> option will have a value equal to final settlement price of the underlying Iron Ore Swap minus the strike price, multiplied by the contract size.</w:t>
            </w:r>
          </w:p>
          <w:p w:rsidR="00AF4DED" w:rsidRPr="00850845" w:rsidRDefault="00AF4DED" w:rsidP="00850845">
            <w:pPr>
              <w:spacing w:before="60" w:after="60" w:line="240" w:lineRule="atLeast"/>
              <w:rPr>
                <w:rFonts w:ascii="Arial" w:hAnsi="Arial" w:cs="Arial"/>
              </w:rPr>
            </w:pPr>
          </w:p>
          <w:p w:rsidR="00AF4DED" w:rsidRPr="00850845" w:rsidRDefault="00AF4DED" w:rsidP="00850845">
            <w:pPr>
              <w:spacing w:after="100" w:line="240" w:lineRule="auto"/>
              <w:jc w:val="both"/>
              <w:rPr>
                <w:rFonts w:ascii="Arial" w:hAnsi="Arial" w:cs="Arial"/>
                <w:b/>
              </w:rPr>
            </w:pPr>
            <w:r w:rsidRPr="00850845">
              <w:rPr>
                <w:rFonts w:ascii="Arial" w:hAnsi="Arial" w:cs="Arial"/>
              </w:rPr>
              <w:t xml:space="preserve">Upon exercise, a </w:t>
            </w:r>
            <w:r w:rsidRPr="00850845">
              <w:rPr>
                <w:rFonts w:ascii="Arial" w:hAnsi="Arial" w:cs="Arial"/>
                <w:b/>
              </w:rPr>
              <w:t>put</w:t>
            </w:r>
            <w:r w:rsidRPr="00850845">
              <w:rPr>
                <w:rFonts w:ascii="Arial" w:hAnsi="Arial" w:cs="Arial"/>
              </w:rPr>
              <w:t xml:space="preserve"> option will have a value equal to the strike price minus the final settlement price of the underlying Iron Ore Swap, multiplied by the contract size.</w:t>
            </w:r>
          </w:p>
        </w:tc>
        <w:tc>
          <w:tcPr>
            <w:tcW w:w="8512" w:type="dxa"/>
            <w:gridSpan w:val="4"/>
          </w:tcPr>
          <w:p w:rsidR="00AF4DED" w:rsidRPr="00850845" w:rsidRDefault="00AF4DED" w:rsidP="00850845">
            <w:pPr>
              <w:spacing w:before="60" w:after="60" w:line="240" w:lineRule="atLeast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  <w:u w:val="single"/>
              </w:rPr>
              <w:t>European Style</w:t>
            </w:r>
            <w:r w:rsidRPr="00850845">
              <w:rPr>
                <w:rFonts w:ascii="Arial" w:hAnsi="Arial" w:cs="Arial"/>
              </w:rPr>
              <w:t xml:space="preserve">: </w:t>
            </w:r>
          </w:p>
          <w:p w:rsidR="00AF4DED" w:rsidRPr="00850845" w:rsidRDefault="00AF4DED" w:rsidP="00850845">
            <w:pPr>
              <w:spacing w:after="100" w:line="240" w:lineRule="auto"/>
              <w:jc w:val="both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>An option will be exercised automatically at expiry only if it is in-the-money.</w:t>
            </w:r>
          </w:p>
          <w:p w:rsidR="00AF4DED" w:rsidRPr="00850845" w:rsidRDefault="00AF4DED" w:rsidP="00850845">
            <w:pPr>
              <w:spacing w:before="60" w:after="60" w:line="240" w:lineRule="atLeast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br/>
            </w:r>
            <w:r w:rsidRPr="00850845">
              <w:rPr>
                <w:rFonts w:ascii="Arial" w:hAnsi="Arial" w:cs="Arial"/>
                <w:u w:val="single"/>
              </w:rPr>
              <w:t>Cash Settled</w:t>
            </w:r>
            <w:r w:rsidRPr="00850845">
              <w:rPr>
                <w:rFonts w:ascii="Arial" w:hAnsi="Arial" w:cs="Arial"/>
              </w:rPr>
              <w:t xml:space="preserve">: </w:t>
            </w:r>
          </w:p>
          <w:p w:rsidR="00AF4DED" w:rsidRPr="00850845" w:rsidRDefault="00AF4DED" w:rsidP="00850845">
            <w:pPr>
              <w:spacing w:before="60" w:after="60" w:line="240" w:lineRule="atLeast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 xml:space="preserve">Upon exercise, a </w:t>
            </w:r>
            <w:r w:rsidRPr="00850845">
              <w:rPr>
                <w:rFonts w:ascii="Arial" w:hAnsi="Arial" w:cs="Arial"/>
                <w:b/>
              </w:rPr>
              <w:t>call</w:t>
            </w:r>
            <w:r w:rsidRPr="00850845">
              <w:rPr>
                <w:rFonts w:ascii="Arial" w:hAnsi="Arial" w:cs="Arial"/>
              </w:rPr>
              <w:t xml:space="preserve"> option will have a value equal to final settlement price of the underlying FFA minus the strik</w:t>
            </w:r>
            <w:bookmarkStart w:id="0" w:name="_GoBack"/>
            <w:bookmarkEnd w:id="0"/>
            <w:r w:rsidRPr="00850845">
              <w:rPr>
                <w:rFonts w:ascii="Arial" w:hAnsi="Arial" w:cs="Arial"/>
              </w:rPr>
              <w:t>e price, multiplied by the contract size.</w:t>
            </w:r>
          </w:p>
          <w:p w:rsidR="00AF4DED" w:rsidRPr="00850845" w:rsidRDefault="00AF4DED" w:rsidP="00850845">
            <w:pPr>
              <w:spacing w:before="60" w:after="60" w:line="240" w:lineRule="atLeast"/>
              <w:rPr>
                <w:rFonts w:ascii="Arial" w:hAnsi="Arial" w:cs="Arial"/>
              </w:rPr>
            </w:pPr>
          </w:p>
          <w:p w:rsidR="00AF4DED" w:rsidRPr="00850845" w:rsidRDefault="00AF4DED" w:rsidP="00850845">
            <w:pPr>
              <w:spacing w:after="100" w:line="240" w:lineRule="auto"/>
              <w:jc w:val="both"/>
              <w:rPr>
                <w:rFonts w:ascii="Arial" w:hAnsi="Arial" w:cs="Arial"/>
              </w:rPr>
            </w:pPr>
            <w:r w:rsidRPr="00850845">
              <w:rPr>
                <w:rFonts w:ascii="Arial" w:hAnsi="Arial" w:cs="Arial"/>
              </w:rPr>
              <w:t xml:space="preserve">Upon exercise, a </w:t>
            </w:r>
            <w:r w:rsidRPr="00850845">
              <w:rPr>
                <w:rFonts w:ascii="Arial" w:hAnsi="Arial" w:cs="Arial"/>
                <w:b/>
              </w:rPr>
              <w:t>put</w:t>
            </w:r>
            <w:r w:rsidRPr="00850845">
              <w:rPr>
                <w:rFonts w:ascii="Arial" w:hAnsi="Arial" w:cs="Arial"/>
              </w:rPr>
              <w:t xml:space="preserve"> option will have a value equal to the strike price minus the final settlement price of the underlying FFA, multiplied by the contract size.</w:t>
            </w:r>
          </w:p>
          <w:p w:rsidR="00AF4DED" w:rsidRPr="00850845" w:rsidRDefault="00AF4DED" w:rsidP="00850845">
            <w:pPr>
              <w:spacing w:after="100" w:line="240" w:lineRule="auto"/>
              <w:jc w:val="both"/>
              <w:rPr>
                <w:rFonts w:ascii="Arial" w:hAnsi="Arial" w:cs="Arial"/>
              </w:rPr>
            </w:pPr>
          </w:p>
        </w:tc>
      </w:tr>
    </w:tbl>
    <w:p w:rsidR="00AF4DED" w:rsidRDefault="00AF4DED"/>
    <w:sectPr w:rsidR="00AF4DED" w:rsidSect="009C1483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??¨¬?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2E74"/>
    <w:rsid w:val="00011B6C"/>
    <w:rsid w:val="00054B27"/>
    <w:rsid w:val="00056B0E"/>
    <w:rsid w:val="00064AD2"/>
    <w:rsid w:val="00075B80"/>
    <w:rsid w:val="001159D2"/>
    <w:rsid w:val="001E4FF9"/>
    <w:rsid w:val="00284B58"/>
    <w:rsid w:val="002A27B4"/>
    <w:rsid w:val="002C6229"/>
    <w:rsid w:val="0035560D"/>
    <w:rsid w:val="00391F6C"/>
    <w:rsid w:val="003D41B7"/>
    <w:rsid w:val="003F1867"/>
    <w:rsid w:val="003F3F8F"/>
    <w:rsid w:val="004B35FF"/>
    <w:rsid w:val="00557460"/>
    <w:rsid w:val="00557C8B"/>
    <w:rsid w:val="00566F41"/>
    <w:rsid w:val="005E0A49"/>
    <w:rsid w:val="005F4866"/>
    <w:rsid w:val="006023AC"/>
    <w:rsid w:val="0066224A"/>
    <w:rsid w:val="00690FDF"/>
    <w:rsid w:val="006A4494"/>
    <w:rsid w:val="006D561D"/>
    <w:rsid w:val="006E500C"/>
    <w:rsid w:val="00762534"/>
    <w:rsid w:val="007A364F"/>
    <w:rsid w:val="007B19FE"/>
    <w:rsid w:val="007F711E"/>
    <w:rsid w:val="00817516"/>
    <w:rsid w:val="00850845"/>
    <w:rsid w:val="00880DC7"/>
    <w:rsid w:val="008A4F69"/>
    <w:rsid w:val="008A535D"/>
    <w:rsid w:val="008D5BD2"/>
    <w:rsid w:val="008E4CA2"/>
    <w:rsid w:val="008E5BA7"/>
    <w:rsid w:val="009630C5"/>
    <w:rsid w:val="00995FB9"/>
    <w:rsid w:val="009C1483"/>
    <w:rsid w:val="00A26F7C"/>
    <w:rsid w:val="00AF4DED"/>
    <w:rsid w:val="00B42F5D"/>
    <w:rsid w:val="00B65929"/>
    <w:rsid w:val="00B664D6"/>
    <w:rsid w:val="00B91AC6"/>
    <w:rsid w:val="00BA4ABD"/>
    <w:rsid w:val="00BA7DFF"/>
    <w:rsid w:val="00BB1121"/>
    <w:rsid w:val="00BC1E06"/>
    <w:rsid w:val="00BD5DB6"/>
    <w:rsid w:val="00BE213C"/>
    <w:rsid w:val="00BF59B2"/>
    <w:rsid w:val="00C34E4A"/>
    <w:rsid w:val="00CD71D0"/>
    <w:rsid w:val="00D0779A"/>
    <w:rsid w:val="00D3117C"/>
    <w:rsid w:val="00D449B1"/>
    <w:rsid w:val="00D66E43"/>
    <w:rsid w:val="00E94B5C"/>
    <w:rsid w:val="00EB2E74"/>
    <w:rsid w:val="00ED024E"/>
    <w:rsid w:val="00F57131"/>
    <w:rsid w:val="00F57A55"/>
    <w:rsid w:val="00F744B0"/>
    <w:rsid w:val="00F97C06"/>
    <w:rsid w:val="00FB2E73"/>
    <w:rsid w:val="00FF7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24E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B2E7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199</Words>
  <Characters>1139</Characters>
  <Application>Microsoft Office Outlook</Application>
  <DocSecurity>0</DocSecurity>
  <Lines>0</Lines>
  <Paragraphs>0</Paragraphs>
  <ScaleCrop>false</ScaleCrop>
  <Company>Singapore Exchange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ADDITION TO APPENDIX 1 TO THE CLEARING RULES ON THE FINAL SETTLEMENTFOR IRON ORE OPTION, PANAMAX OPTION, SUPRAMAX OPTION, CAPESIZE OPTION, AND HANDYSIZE OPTION</dc:title>
  <dc:subject/>
  <dc:creator>SGX</dc:creator>
  <cp:keywords/>
  <dc:description/>
  <cp:lastModifiedBy>seema.shah</cp:lastModifiedBy>
  <cp:revision>2</cp:revision>
  <dcterms:created xsi:type="dcterms:W3CDTF">2012-09-10T08:05:00Z</dcterms:created>
  <dcterms:modified xsi:type="dcterms:W3CDTF">2012-09-10T08:05:00Z</dcterms:modified>
</cp:coreProperties>
</file>