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4569" w:rsidRDefault="00AD4569" w:rsidP="00AD4569">
      <w:pPr>
        <w:spacing w:after="120" w:line="240" w:lineRule="auto"/>
        <w:jc w:val="center"/>
        <w:rPr>
          <w:b/>
          <w:sz w:val="22"/>
          <w:szCs w:val="22"/>
          <w:lang w:val="en-CA"/>
        </w:rPr>
      </w:pPr>
      <w:bookmarkStart w:id="0" w:name="_GoBack"/>
      <w:bookmarkEnd w:id="0"/>
      <w:r w:rsidRPr="00D950B5">
        <w:rPr>
          <w:b/>
          <w:sz w:val="22"/>
          <w:szCs w:val="22"/>
          <w:lang w:val="en-CA"/>
        </w:rPr>
        <w:t>AMENDMENTS TO THE</w:t>
      </w:r>
      <w:r>
        <w:rPr>
          <w:b/>
          <w:sz w:val="22"/>
          <w:szCs w:val="22"/>
          <w:lang w:val="en-CA"/>
        </w:rPr>
        <w:t xml:space="preserve"> </w:t>
      </w:r>
      <w:r w:rsidRPr="00AD4569">
        <w:rPr>
          <w:b/>
          <w:sz w:val="22"/>
          <w:szCs w:val="22"/>
          <w:lang w:val="en-CA"/>
        </w:rPr>
        <w:t>SGX-DC CLEARING RULES</w:t>
      </w:r>
    </w:p>
    <w:p w:rsidR="007C059A" w:rsidRDefault="007C059A" w:rsidP="00AD4569">
      <w:pPr>
        <w:spacing w:after="0" w:line="240" w:lineRule="auto"/>
        <w:rPr>
          <w:sz w:val="22"/>
          <w:szCs w:val="22"/>
        </w:rPr>
      </w:pPr>
    </w:p>
    <w:tbl>
      <w:tblPr>
        <w:tblStyle w:val="TableGrid"/>
        <w:tblW w:w="5000" w:type="pct"/>
        <w:tblCellMar>
          <w:top w:w="57" w:type="dxa"/>
          <w:bottom w:w="57" w:type="dxa"/>
        </w:tblCellMar>
        <w:tblLook w:val="04A0" w:firstRow="1" w:lastRow="0" w:firstColumn="1" w:lastColumn="0" w:noHBand="0" w:noVBand="1"/>
      </w:tblPr>
      <w:tblGrid>
        <w:gridCol w:w="9243"/>
      </w:tblGrid>
      <w:tr w:rsidR="00AD4569" w:rsidRPr="008D40DF" w:rsidTr="00AD4569">
        <w:tc>
          <w:tcPr>
            <w:tcW w:w="5000" w:type="pct"/>
            <w:shd w:val="clear" w:color="auto" w:fill="92D050"/>
          </w:tcPr>
          <w:p w:rsidR="00AD4569" w:rsidRPr="008D40DF" w:rsidRDefault="00AD4569" w:rsidP="00CA6903">
            <w:pPr>
              <w:keepLines/>
              <w:spacing w:before="80" w:after="80" w:line="276" w:lineRule="auto"/>
              <w:jc w:val="both"/>
              <w:rPr>
                <w:b/>
              </w:rPr>
            </w:pPr>
            <w:r w:rsidRPr="008D40DF">
              <w:rPr>
                <w:b/>
              </w:rPr>
              <w:t>SGX-DC CLEARING RULES</w:t>
            </w:r>
          </w:p>
        </w:tc>
      </w:tr>
      <w:tr w:rsidR="00AD4569" w:rsidRPr="008D40DF" w:rsidTr="00AD4569">
        <w:tc>
          <w:tcPr>
            <w:tcW w:w="5000" w:type="pct"/>
            <w:shd w:val="clear" w:color="auto" w:fill="auto"/>
          </w:tcPr>
          <w:p w:rsidR="00AD4569" w:rsidRDefault="00AD4569" w:rsidP="00CA6903">
            <w:pPr>
              <w:spacing w:after="120"/>
              <w:jc w:val="both"/>
              <w:rPr>
                <w:b/>
                <w:lang w:val="en-CA"/>
              </w:rPr>
            </w:pPr>
            <w:r w:rsidRPr="008D40DF">
              <w:rPr>
                <w:b/>
                <w:lang w:val="en-CA"/>
              </w:rPr>
              <w:t>Chapter 2 Clearing Membership</w:t>
            </w:r>
          </w:p>
          <w:p w:rsidR="00AD4569" w:rsidRPr="008D40DF" w:rsidRDefault="00AD4569" w:rsidP="00CA6903">
            <w:pPr>
              <w:spacing w:after="120"/>
              <w:jc w:val="both"/>
              <w:rPr>
                <w:b/>
                <w:lang w:val="en-CA"/>
              </w:rPr>
            </w:pPr>
            <w:r w:rsidRPr="008D40DF">
              <w:rPr>
                <w:b/>
                <w:lang w:val="en-CA"/>
              </w:rPr>
              <w:t>2.28A Clearing Arrangements with Trading Members</w:t>
            </w:r>
          </w:p>
          <w:p w:rsidR="00AD4569" w:rsidRPr="008D40DF" w:rsidRDefault="00AD4569" w:rsidP="00CA6903">
            <w:pPr>
              <w:spacing w:after="120"/>
              <w:jc w:val="both"/>
              <w:rPr>
                <w:lang w:val="en-CA"/>
              </w:rPr>
            </w:pPr>
            <w:r w:rsidRPr="008D40DF">
              <w:rPr>
                <w:lang w:val="en-CA"/>
              </w:rPr>
              <w:t>2.28A.1</w:t>
            </w:r>
          </w:p>
          <w:p w:rsidR="00AD4569" w:rsidRPr="008D40DF" w:rsidRDefault="00AD4569" w:rsidP="00CA6903">
            <w:pPr>
              <w:spacing w:after="120"/>
              <w:jc w:val="both"/>
              <w:rPr>
                <w:lang w:val="en-CA"/>
              </w:rPr>
            </w:pPr>
            <w:r w:rsidRPr="008D40DF">
              <w:rPr>
                <w:lang w:val="en-CA"/>
              </w:rPr>
              <w:t xml:space="preserve">In order to clear the trades of a Trading Member, a Clearing Member shall:— </w:t>
            </w:r>
          </w:p>
          <w:p w:rsidR="00AD4569" w:rsidRPr="008D40DF" w:rsidRDefault="00AD4569" w:rsidP="00CA6903">
            <w:pPr>
              <w:spacing w:after="120"/>
              <w:ind w:left="720"/>
              <w:jc w:val="both"/>
              <w:rPr>
                <w:lang w:val="en-CA"/>
              </w:rPr>
            </w:pPr>
            <w:r w:rsidRPr="008D40DF">
              <w:rPr>
                <w:lang w:val="en-CA"/>
              </w:rPr>
              <w:t xml:space="preserve">2.28A.1.1 inform the Clearing House of such clearing arrangement with the Trading Member, and if the Clearing House requests, such details of the Trading Member as the Clearing House may from time to time specify; </w:t>
            </w:r>
          </w:p>
          <w:p w:rsidR="00AD4569" w:rsidRPr="008D40DF" w:rsidRDefault="00AD4569" w:rsidP="00CA6903">
            <w:pPr>
              <w:spacing w:after="120"/>
              <w:ind w:left="720"/>
              <w:jc w:val="both"/>
              <w:rPr>
                <w:lang w:val="en-CA"/>
              </w:rPr>
            </w:pPr>
            <w:r w:rsidRPr="008D40DF">
              <w:rPr>
                <w:lang w:val="en-CA"/>
              </w:rPr>
              <w:t xml:space="preserve">2.28A.1.2 pay such administrative fee as the Clearing House may from time to time levy for the processing of such applications; </w:t>
            </w:r>
          </w:p>
          <w:p w:rsidR="00AD4569" w:rsidRPr="00AD4569" w:rsidRDefault="00AD4569" w:rsidP="00CA6903">
            <w:pPr>
              <w:spacing w:after="120"/>
              <w:ind w:left="720"/>
              <w:jc w:val="both"/>
              <w:rPr>
                <w:lang w:val="en-CA"/>
              </w:rPr>
            </w:pPr>
            <w:r w:rsidRPr="008D40DF">
              <w:rPr>
                <w:lang w:val="en-CA"/>
              </w:rPr>
              <w:t>2.28A.1.3 satisfy the Clearing House that it has in place adequate internal control measures and risk management systems</w:t>
            </w:r>
            <w:r w:rsidRPr="008D40DF">
              <w:rPr>
                <w:color w:val="0070C0"/>
                <w:u w:val="single"/>
                <w:lang w:val="en-CA"/>
              </w:rPr>
              <w:t>, including automated pre-</w:t>
            </w:r>
            <w:r w:rsidRPr="00AD4569">
              <w:rPr>
                <w:color w:val="0070C0"/>
                <w:u w:val="single"/>
                <w:lang w:val="en-CA"/>
              </w:rPr>
              <w:t xml:space="preserve">execution credit </w:t>
            </w:r>
            <w:r w:rsidRPr="00AD4569">
              <w:rPr>
                <w:strike/>
                <w:color w:val="0070C0"/>
                <w:u w:val="single"/>
                <w:lang w:val="en-CA"/>
              </w:rPr>
              <w:t>risk management</w:t>
            </w:r>
            <w:r w:rsidRPr="00AD4569">
              <w:rPr>
                <w:color w:val="0070C0"/>
                <w:u w:val="single"/>
                <w:lang w:val="en-CA"/>
              </w:rPr>
              <w:t xml:space="preserve"> control checks,</w:t>
            </w:r>
            <w:r w:rsidRPr="00AD4569">
              <w:rPr>
                <w:color w:val="0070C0"/>
                <w:lang w:val="en-CA"/>
              </w:rPr>
              <w:t xml:space="preserve"> </w:t>
            </w:r>
            <w:r w:rsidRPr="00AD4569">
              <w:rPr>
                <w:lang w:val="en-CA"/>
              </w:rPr>
              <w:t xml:space="preserve">to monitor the Trading Member's trades and manage its risk exposure to such trades; </w:t>
            </w:r>
          </w:p>
          <w:p w:rsidR="00AD4569" w:rsidRPr="00AD4569" w:rsidRDefault="00AD4569" w:rsidP="00CA6903">
            <w:pPr>
              <w:spacing w:after="120"/>
              <w:ind w:left="720"/>
              <w:jc w:val="both"/>
              <w:rPr>
                <w:lang w:val="en-CA"/>
              </w:rPr>
            </w:pPr>
            <w:r w:rsidRPr="00AD4569">
              <w:rPr>
                <w:lang w:val="en-CA"/>
              </w:rPr>
              <w:t>2.28A.1.4 enter into a written agreement with the Trading Member setting out the terms and conditions governing their relationship, which shall include without limitation, risk management provisions such as the right to impose trading limits on the Trading Member;</w:t>
            </w:r>
            <w:r w:rsidRPr="00AD4569">
              <w:rPr>
                <w:strike/>
                <w:color w:val="0070C0"/>
                <w:lang w:val="en-CA"/>
              </w:rPr>
              <w:t xml:space="preserve"> and</w:t>
            </w:r>
            <w:r w:rsidRPr="00AD4569">
              <w:rPr>
                <w:lang w:val="en-CA"/>
              </w:rPr>
              <w:t xml:space="preserve"> </w:t>
            </w:r>
          </w:p>
          <w:p w:rsidR="00AD4569" w:rsidRPr="00AD4569" w:rsidRDefault="00AD4569" w:rsidP="00CA6903">
            <w:pPr>
              <w:keepLines/>
              <w:spacing w:before="80" w:after="80"/>
              <w:ind w:left="720"/>
              <w:jc w:val="both"/>
              <w:rPr>
                <w:color w:val="0070C0"/>
                <w:u w:val="single"/>
                <w:lang w:val="en-CA"/>
              </w:rPr>
            </w:pPr>
            <w:r w:rsidRPr="00AD4569">
              <w:rPr>
                <w:lang w:val="en-CA"/>
              </w:rPr>
              <w:t>2.28A.1.5 undertake to inform the Clearing House if it has knowledge or has reasons to believe that a Trading Member whom it has a clearing arrangement with has defaulted or may default in any of its obligations under the trades transacted by the Trading Member</w:t>
            </w:r>
            <w:r w:rsidRPr="00AD4569">
              <w:rPr>
                <w:strike/>
                <w:color w:val="0070C0"/>
                <w:lang w:val="en-CA"/>
              </w:rPr>
              <w:t>.</w:t>
            </w:r>
            <w:r w:rsidRPr="00AD4569">
              <w:rPr>
                <w:color w:val="0070C0"/>
                <w:u w:val="single"/>
                <w:lang w:val="en-CA"/>
              </w:rPr>
              <w:t>; and</w:t>
            </w:r>
          </w:p>
          <w:p w:rsidR="00AD4569" w:rsidRPr="008D40DF" w:rsidRDefault="00AD4569" w:rsidP="00CA6903">
            <w:pPr>
              <w:keepLines/>
              <w:spacing w:before="80" w:after="80"/>
              <w:ind w:left="720"/>
              <w:jc w:val="both"/>
              <w:rPr>
                <w:u w:val="single"/>
                <w:lang w:val="en-CA"/>
              </w:rPr>
            </w:pPr>
            <w:r w:rsidRPr="00AD4569">
              <w:rPr>
                <w:color w:val="0070C0"/>
                <w:u w:val="single"/>
                <w:lang w:val="en-CA"/>
              </w:rPr>
              <w:t xml:space="preserve">2.28A.1.6 </w:t>
            </w:r>
            <w:proofErr w:type="gramStart"/>
            <w:r w:rsidRPr="00AD4569">
              <w:rPr>
                <w:rFonts w:eastAsia="SimHei" w:cs="Times New Roman"/>
                <w:color w:val="0070C0"/>
                <w:u w:val="single"/>
              </w:rPr>
              <w:t>have</w:t>
            </w:r>
            <w:proofErr w:type="gramEnd"/>
            <w:r w:rsidRPr="00AD4569">
              <w:rPr>
                <w:rFonts w:eastAsia="SimHei" w:cs="Times New Roman"/>
                <w:color w:val="0070C0"/>
                <w:u w:val="single"/>
              </w:rPr>
              <w:t xml:space="preserve"> processes in place to </w:t>
            </w:r>
            <w:proofErr w:type="spellStart"/>
            <w:r w:rsidRPr="00AD4569">
              <w:rPr>
                <w:rFonts w:eastAsia="SimHei" w:cs="Times New Roman"/>
                <w:color w:val="0070C0"/>
                <w:u w:val="single"/>
              </w:rPr>
              <w:t>minimise</w:t>
            </w:r>
            <w:proofErr w:type="spellEnd"/>
            <w:r w:rsidRPr="00AD4569">
              <w:rPr>
                <w:rFonts w:eastAsia="SimHei" w:cs="Times New Roman"/>
                <w:color w:val="0070C0"/>
                <w:u w:val="single"/>
              </w:rPr>
              <w:t xml:space="preserve"> and manage any conflicts of interest, including but not limited to separating its front office and back office functions.</w:t>
            </w:r>
          </w:p>
        </w:tc>
      </w:tr>
    </w:tbl>
    <w:p w:rsidR="00AD4569" w:rsidRPr="00AD4569" w:rsidRDefault="00AD4569" w:rsidP="00AD4569">
      <w:pPr>
        <w:spacing w:after="0" w:line="240" w:lineRule="auto"/>
        <w:rPr>
          <w:sz w:val="22"/>
          <w:szCs w:val="22"/>
        </w:rPr>
      </w:pPr>
    </w:p>
    <w:sectPr w:rsidR="00AD4569" w:rsidRPr="00AD4569" w:rsidSect="00B022A3">
      <w:headerReference w:type="default" r:id="rId7"/>
      <w:footerReference w:type="default" r:id="rId8"/>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1F0D" w:rsidRDefault="005F1F0D" w:rsidP="005F1F0D">
      <w:pPr>
        <w:spacing w:after="0" w:line="240" w:lineRule="auto"/>
      </w:pPr>
      <w:r>
        <w:separator/>
      </w:r>
    </w:p>
  </w:endnote>
  <w:endnote w:type="continuationSeparator" w:id="0">
    <w:p w:rsidR="005F1F0D" w:rsidRDefault="005F1F0D" w:rsidP="005F1F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65A6" w:rsidRPr="000A2C46" w:rsidRDefault="008465A6" w:rsidP="008465A6">
    <w:pPr>
      <w:pStyle w:val="Footer"/>
      <w:rPr>
        <w:b/>
        <w:sz w:val="18"/>
        <w:szCs w:val="18"/>
      </w:rPr>
    </w:pPr>
    <w:r w:rsidRPr="000A2C46">
      <w:rPr>
        <w:b/>
        <w:sz w:val="18"/>
        <w:szCs w:val="18"/>
      </w:rPr>
      <w:t>Legend:</w:t>
    </w:r>
  </w:p>
  <w:p w:rsidR="008465A6" w:rsidRDefault="008465A6" w:rsidP="008465A6">
    <w:pPr>
      <w:pStyle w:val="Footer"/>
      <w:rPr>
        <w:sz w:val="18"/>
        <w:szCs w:val="18"/>
      </w:rPr>
    </w:pPr>
    <w:r>
      <w:rPr>
        <w:color w:val="0070C0"/>
        <w:sz w:val="18"/>
        <w:szCs w:val="18"/>
        <w:u w:val="single"/>
      </w:rPr>
      <w:t>U</w:t>
    </w:r>
    <w:r w:rsidRPr="000A2C46">
      <w:rPr>
        <w:color w:val="0070C0"/>
        <w:sz w:val="18"/>
        <w:szCs w:val="18"/>
        <w:u w:val="single"/>
      </w:rPr>
      <w:t>nderlined</w:t>
    </w:r>
    <w:r>
      <w:rPr>
        <w:sz w:val="18"/>
        <w:szCs w:val="18"/>
      </w:rPr>
      <w:t xml:space="preserve"> – insertions</w:t>
    </w:r>
  </w:p>
  <w:p w:rsidR="008465A6" w:rsidRDefault="008465A6" w:rsidP="008465A6">
    <w:pPr>
      <w:pStyle w:val="Footer"/>
      <w:rPr>
        <w:sz w:val="18"/>
        <w:szCs w:val="18"/>
      </w:rPr>
    </w:pPr>
    <w:proofErr w:type="spellStart"/>
    <w:r>
      <w:rPr>
        <w:strike/>
        <w:color w:val="0070C0"/>
        <w:sz w:val="18"/>
        <w:szCs w:val="18"/>
      </w:rPr>
      <w:t>S</w:t>
    </w:r>
    <w:r w:rsidRPr="000A2C46">
      <w:rPr>
        <w:strike/>
        <w:color w:val="0070C0"/>
        <w:sz w:val="18"/>
        <w:szCs w:val="18"/>
      </w:rPr>
      <w:t>truckthrough</w:t>
    </w:r>
    <w:proofErr w:type="spellEnd"/>
    <w:r>
      <w:rPr>
        <w:sz w:val="18"/>
        <w:szCs w:val="18"/>
      </w:rPr>
      <w:t xml:space="preserve"> – deletions</w:t>
    </w:r>
  </w:p>
  <w:p w:rsidR="008465A6" w:rsidRDefault="008465A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1F0D" w:rsidRDefault="005F1F0D" w:rsidP="005F1F0D">
      <w:pPr>
        <w:spacing w:after="0" w:line="240" w:lineRule="auto"/>
      </w:pPr>
      <w:r>
        <w:separator/>
      </w:r>
    </w:p>
  </w:footnote>
  <w:footnote w:type="continuationSeparator" w:id="0">
    <w:p w:rsidR="005F1F0D" w:rsidRDefault="005F1F0D" w:rsidP="005F1F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1F0D" w:rsidRPr="005F1F0D" w:rsidRDefault="000F023E" w:rsidP="005F1F0D">
    <w:pPr>
      <w:pStyle w:val="Header"/>
      <w:jc w:val="right"/>
      <w:rPr>
        <w:u w:val="single"/>
        <w:lang w:val="en-CA"/>
      </w:rPr>
    </w:pPr>
    <w:r>
      <w:rPr>
        <w:u w:val="single"/>
        <w:lang w:val="en-CA"/>
      </w:rPr>
      <w:t>Appendix 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4569"/>
    <w:rsid w:val="000F023E"/>
    <w:rsid w:val="005F1F0D"/>
    <w:rsid w:val="007C059A"/>
    <w:rsid w:val="008465A6"/>
    <w:rsid w:val="00AD4569"/>
    <w:rsid w:val="00AF43AC"/>
    <w:rsid w:val="00B022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45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D45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F1F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1F0D"/>
  </w:style>
  <w:style w:type="paragraph" w:styleId="Footer">
    <w:name w:val="footer"/>
    <w:basedOn w:val="Normal"/>
    <w:link w:val="FooterChar"/>
    <w:uiPriority w:val="99"/>
    <w:unhideWhenUsed/>
    <w:rsid w:val="005F1F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1F0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45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D45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F1F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1F0D"/>
  </w:style>
  <w:style w:type="paragraph" w:styleId="Footer">
    <w:name w:val="footer"/>
    <w:basedOn w:val="Normal"/>
    <w:link w:val="FooterChar"/>
    <w:uiPriority w:val="99"/>
    <w:unhideWhenUsed/>
    <w:rsid w:val="005F1F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1F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232</Words>
  <Characters>1328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1557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LSL</dc:creator>
  <cp:lastModifiedBy> LSL</cp:lastModifiedBy>
  <cp:revision>6</cp:revision>
  <dcterms:created xsi:type="dcterms:W3CDTF">2013-02-19T09:55:00Z</dcterms:created>
  <dcterms:modified xsi:type="dcterms:W3CDTF">2013-02-27T08:22:00Z</dcterms:modified>
</cp:coreProperties>
</file>